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12" w:rsidRDefault="000A4369">
      <w:pPr>
        <w:widowControl/>
        <w:spacing w:line="600" w:lineRule="exact"/>
        <w:jc w:val="center"/>
        <w:rPr>
          <w:rFonts w:ascii="华文中宋" w:eastAsia="华文中宋" w:hAnsi="华文中宋" w:cs="华文中宋"/>
          <w:sz w:val="38"/>
          <w:szCs w:val="38"/>
        </w:rPr>
      </w:pP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38"/>
          <w:szCs w:val="38"/>
        </w:rPr>
        <w:t>附件一：2021年度“人民城市”背景下杨浦人民建议征集工作相关调研主题</w:t>
      </w: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0A4369">
      <w:pPr>
        <w:spacing w:line="600" w:lineRule="exact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1.“双减”背景下教育机构的风险防控</w:t>
      </w:r>
    </w:p>
    <w:p w:rsidR="00C70B12" w:rsidRDefault="000A4369">
      <w:pPr>
        <w:spacing w:line="600" w:lineRule="exact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2.人民建议征集课程设计</w:t>
      </w:r>
    </w:p>
    <w:p w:rsidR="00C70B12" w:rsidRDefault="000A4369">
      <w:pPr>
        <w:spacing w:line="600" w:lineRule="exact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3.人民建议实务操作系列讲座</w:t>
      </w:r>
    </w:p>
    <w:p w:rsidR="00C70B12" w:rsidRDefault="000A4369">
      <w:pPr>
        <w:spacing w:line="600" w:lineRule="exact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4.大学生人民建议撰写及评选活动</w:t>
      </w:r>
    </w:p>
    <w:p w:rsidR="00C70B12" w:rsidRDefault="000A4369">
      <w:pPr>
        <w:spacing w:line="600" w:lineRule="exact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5.画说杨浦人民建议征集故事</w:t>
      </w:r>
    </w:p>
    <w:p w:rsidR="00C70B12" w:rsidRDefault="000A4369">
      <w:pPr>
        <w:spacing w:line="600" w:lineRule="exact"/>
        <w:rPr>
          <w:rFonts w:ascii="仿宋_GB2312" w:eastAsia="仿宋_GB2312" w:hAnsi="仿宋" w:cs="仿宋"/>
          <w:sz w:val="34"/>
          <w:szCs w:val="34"/>
        </w:rPr>
      </w:pPr>
      <w:r>
        <w:rPr>
          <w:rFonts w:ascii="仿宋_GB2312" w:eastAsia="仿宋_GB2312" w:hAnsi="仿宋" w:cs="仿宋" w:hint="eastAsia"/>
          <w:sz w:val="34"/>
          <w:szCs w:val="34"/>
        </w:rPr>
        <w:t>6.中心城区“邻避效应”类环境问题的分析对策</w:t>
      </w: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</w:p>
    <w:p w:rsidR="00C70B12" w:rsidRDefault="00C70B12">
      <w:pPr>
        <w:spacing w:line="480" w:lineRule="exact"/>
        <w:rPr>
          <w:rFonts w:ascii="仿宋_GB2312" w:eastAsia="仿宋_GB2312" w:hAnsi="仿宋" w:cs="仿宋"/>
          <w:sz w:val="34"/>
          <w:szCs w:val="34"/>
        </w:rPr>
      </w:pPr>
      <w:bookmarkStart w:id="0" w:name="_GoBack"/>
      <w:bookmarkEnd w:id="0"/>
    </w:p>
    <w:sectPr w:rsidR="00C70B12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13" w:rsidRDefault="00921213">
      <w:r>
        <w:separator/>
      </w:r>
    </w:p>
  </w:endnote>
  <w:endnote w:type="continuationSeparator" w:id="0">
    <w:p w:rsidR="00921213" w:rsidRDefault="0092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12" w:rsidRDefault="000A436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0B12" w:rsidRDefault="000A4369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A0C9B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70B12" w:rsidRDefault="000A4369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CA0C9B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13" w:rsidRDefault="00921213">
      <w:r>
        <w:separator/>
      </w:r>
    </w:p>
  </w:footnote>
  <w:footnote w:type="continuationSeparator" w:id="0">
    <w:p w:rsidR="00921213" w:rsidRDefault="00921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B2110"/>
    <w:multiLevelType w:val="singleLevel"/>
    <w:tmpl w:val="46FB21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12"/>
    <w:rsid w:val="000A4369"/>
    <w:rsid w:val="00106766"/>
    <w:rsid w:val="00172012"/>
    <w:rsid w:val="002739CB"/>
    <w:rsid w:val="003E0752"/>
    <w:rsid w:val="004141CA"/>
    <w:rsid w:val="00416D7D"/>
    <w:rsid w:val="00577D54"/>
    <w:rsid w:val="0084778C"/>
    <w:rsid w:val="00921213"/>
    <w:rsid w:val="009F0A06"/>
    <w:rsid w:val="00A214E9"/>
    <w:rsid w:val="00A5342E"/>
    <w:rsid w:val="00BF2812"/>
    <w:rsid w:val="00C24BE8"/>
    <w:rsid w:val="00C70B12"/>
    <w:rsid w:val="00CA0C9B"/>
    <w:rsid w:val="00DD6263"/>
    <w:rsid w:val="04084B2D"/>
    <w:rsid w:val="06777F9E"/>
    <w:rsid w:val="0ABF0659"/>
    <w:rsid w:val="2E1865D0"/>
    <w:rsid w:val="2F8C50AA"/>
    <w:rsid w:val="354A426E"/>
    <w:rsid w:val="416A293B"/>
    <w:rsid w:val="428B2636"/>
    <w:rsid w:val="471807BF"/>
    <w:rsid w:val="55072E2B"/>
    <w:rsid w:val="6E9B3F06"/>
    <w:rsid w:val="70BA0CF7"/>
    <w:rsid w:val="7255185A"/>
    <w:rsid w:val="75FE39A8"/>
    <w:rsid w:val="785F279F"/>
    <w:rsid w:val="7E3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808B7-C10B-4942-A5E8-C937CA7A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 悦</dc:creator>
  <cp:lastModifiedBy>leo</cp:lastModifiedBy>
  <cp:revision>2</cp:revision>
  <dcterms:created xsi:type="dcterms:W3CDTF">2021-11-03T07:31:00Z</dcterms:created>
  <dcterms:modified xsi:type="dcterms:W3CDTF">2021-11-03T07:31:00Z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DC8F854D1E6246D981986EE74F16D544</vt:lpwstr>
  </property>
</Properties>
</file>