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3538C6">
      <w:pPr>
        <w:rPr>
          <w:rFonts w:ascii="仿宋_GB2312" w:eastAsia="仿宋_GB2312"/>
          <w:sz w:val="30"/>
          <w:szCs w:val="30"/>
          <w:lang w:eastAsia="zh-CN"/>
        </w:rPr>
      </w:pPr>
      <w:r>
        <w:rPr>
          <w:rFonts w:hint="eastAsia" w:ascii="仿宋_GB2312" w:eastAsia="仿宋_GB2312"/>
          <w:sz w:val="30"/>
          <w:szCs w:val="30"/>
          <w:lang w:eastAsia="zh-CN"/>
        </w:rPr>
        <w:t>附件1</w:t>
      </w:r>
    </w:p>
    <w:p w14:paraId="2E21F214">
      <w:pPr>
        <w:rPr>
          <w:rFonts w:ascii="仿宋_GB2312" w:eastAsia="仿宋_GB2312"/>
          <w:sz w:val="30"/>
          <w:szCs w:val="30"/>
          <w:lang w:eastAsia="zh-CN"/>
        </w:rPr>
      </w:pPr>
    </w:p>
    <w:p w14:paraId="2503C5E7">
      <w:pPr>
        <w:rPr>
          <w:rFonts w:ascii="仿宋_GB2312" w:eastAsia="仿宋_GB2312"/>
          <w:sz w:val="30"/>
          <w:szCs w:val="30"/>
          <w:lang w:eastAsia="zh-CN"/>
        </w:rPr>
      </w:pPr>
    </w:p>
    <w:p w14:paraId="28BC3761">
      <w:pPr>
        <w:jc w:val="center"/>
        <w:rPr>
          <w:rFonts w:ascii="方正小标宋简体" w:eastAsia="方正小标宋简体"/>
          <w:sz w:val="36"/>
          <w:szCs w:val="36"/>
          <w:lang w:eastAsia="zh-CN"/>
        </w:rPr>
      </w:pPr>
      <w:r>
        <w:rPr>
          <w:rFonts w:hint="eastAsia" w:ascii="方正小标宋简体" w:eastAsia="方正小标宋简体"/>
          <w:sz w:val="36"/>
          <w:szCs w:val="36"/>
          <w:lang w:eastAsia="zh-CN"/>
        </w:rPr>
        <w:t>202</w:t>
      </w:r>
      <w:r>
        <w:rPr>
          <w:rFonts w:hint="eastAsia" w:ascii="方正小标宋简体" w:eastAsia="方正小标宋简体"/>
          <w:sz w:val="36"/>
          <w:szCs w:val="36"/>
          <w:lang w:val="en-US" w:eastAsia="zh-CN"/>
        </w:rPr>
        <w:t>7</w:t>
      </w:r>
      <w:r>
        <w:rPr>
          <w:rFonts w:hint="eastAsia" w:ascii="方正小标宋简体" w:eastAsia="方正小标宋简体"/>
          <w:sz w:val="36"/>
          <w:szCs w:val="36"/>
          <w:lang w:eastAsia="zh-CN"/>
        </w:rPr>
        <w:t>年度重型燃气轮机产学研联合创新计划指南</w:t>
      </w:r>
    </w:p>
    <w:p w14:paraId="2FB6BAD9">
      <w:pPr>
        <w:rPr>
          <w:rFonts w:ascii="黑体" w:hAnsi="黑体" w:eastAsia="黑体"/>
          <w:b/>
          <w:bCs/>
          <w:sz w:val="32"/>
          <w:szCs w:val="32"/>
          <w:lang w:eastAsia="zh-CN"/>
        </w:rPr>
      </w:pPr>
    </w:p>
    <w:p w14:paraId="569458BB">
      <w:pPr>
        <w:rPr>
          <w:rFonts w:ascii="黑体" w:hAnsi="黑体" w:eastAsia="黑体"/>
          <w:b/>
          <w:bCs/>
          <w:sz w:val="32"/>
          <w:szCs w:val="32"/>
          <w:lang w:eastAsia="zh-CN"/>
        </w:rPr>
      </w:pPr>
      <w:bookmarkStart w:id="1" w:name="_GoBack"/>
      <w:bookmarkEnd w:id="1"/>
    </w:p>
    <w:p w14:paraId="0EF6AE4B">
      <w:pPr>
        <w:spacing w:line="560" w:lineRule="exact"/>
        <w:ind w:firstLine="643" w:firstLineChars="200"/>
        <w:rPr>
          <w:rFonts w:ascii="黑体" w:hAnsi="黑体" w:eastAsia="黑体"/>
          <w:b/>
          <w:bCs/>
          <w:sz w:val="32"/>
          <w:szCs w:val="32"/>
          <w:lang w:eastAsia="zh-CN"/>
        </w:rPr>
      </w:pPr>
      <w:r>
        <w:rPr>
          <w:rFonts w:ascii="黑体" w:hAnsi="黑体" w:eastAsia="黑体"/>
          <w:b/>
          <w:bCs/>
          <w:sz w:val="32"/>
          <w:szCs w:val="32"/>
          <w:lang w:eastAsia="zh-CN"/>
        </w:rPr>
        <w:t>1</w:t>
      </w:r>
      <w:r>
        <w:rPr>
          <w:rFonts w:hint="eastAsia" w:ascii="黑体" w:hAnsi="黑体" w:eastAsia="黑体"/>
          <w:b/>
          <w:bCs/>
          <w:sz w:val="32"/>
          <w:szCs w:val="32"/>
          <w:lang w:eastAsia="zh-CN"/>
        </w:rPr>
        <w:t>.面向燃气轮机的多燃料多功能火焰检测分析技术研究</w:t>
      </w:r>
    </w:p>
    <w:p w14:paraId="18079EAB">
      <w:pPr>
        <w:spacing w:line="560" w:lineRule="exact"/>
        <w:ind w:firstLine="643" w:firstLineChars="200"/>
        <w:jc w:val="both"/>
        <w:rPr>
          <w:rFonts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项目编号：ZRUIC202</w:t>
      </w:r>
      <w:r>
        <w:rPr>
          <w:rFonts w:hint="eastAsia" w:ascii="仿宋_GB2312" w:hAnsi="仿宋_GB2312" w:eastAsia="仿宋_GB2312" w:cs="仿宋_GB2312"/>
          <w:b/>
          <w:bCs/>
          <w:sz w:val="32"/>
          <w:szCs w:val="32"/>
          <w:lang w:val="en-US" w:eastAsia="zh-CN"/>
        </w:rPr>
        <w:t>7</w:t>
      </w:r>
      <w:r>
        <w:rPr>
          <w:rFonts w:hint="eastAsia" w:ascii="仿宋_GB2312" w:hAnsi="仿宋_GB2312" w:eastAsia="仿宋_GB2312" w:cs="仿宋_GB2312"/>
          <w:b/>
          <w:bCs/>
          <w:sz w:val="32"/>
          <w:szCs w:val="32"/>
          <w:lang w:eastAsia="zh-CN"/>
        </w:rPr>
        <w:t>01</w:t>
      </w:r>
    </w:p>
    <w:p w14:paraId="1AFFEE8D">
      <w:pPr>
        <w:spacing w:line="560" w:lineRule="exact"/>
        <w:ind w:firstLine="643"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项目背景：</w:t>
      </w:r>
      <w:r>
        <w:rPr>
          <w:rFonts w:hint="eastAsia" w:ascii="仿宋_GB2312" w:hAnsi="仿宋_GB2312" w:eastAsia="仿宋_GB2312" w:cs="仿宋_GB2312"/>
          <w:sz w:val="32"/>
          <w:szCs w:val="32"/>
          <w:lang w:eastAsia="zh-CN"/>
        </w:rPr>
        <w:t>火焰探测器是燃气轮机核心的安全监测保护装置，是感知燃机燃烧状态的“眼睛”，一般安装在燃烧室火焰筒侧壁靠近燃料喷嘴或过渡段上。其核心任务是在燃机启动顺控中确认“点火成功”，并在运行中持续监控“火焰存在”。当前主流商用火焰探测器的问题主要集中在抗干扰、燃料适应性、光学污染与高温可靠性四大方面。即使在成熟先进的商业燃机上，火焰探测器带来的系统可靠性下降依然是GE，西门子等各大OEM厂商需要面对的问题。</w:t>
      </w:r>
    </w:p>
    <w:p w14:paraId="642BAC9C">
      <w:pPr>
        <w:spacing w:line="560" w:lineRule="exact"/>
        <w:ind w:firstLine="643"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项目目标：</w:t>
      </w:r>
      <w:r>
        <w:rPr>
          <w:rFonts w:hint="eastAsia" w:ascii="仿宋_GB2312" w:hAnsi="仿宋_GB2312" w:eastAsia="仿宋_GB2312" w:cs="仿宋_GB2312"/>
          <w:sz w:val="32"/>
          <w:szCs w:val="32"/>
          <w:lang w:eastAsia="zh-CN"/>
        </w:rPr>
        <w:t>针对燃气轮机火焰探测器对不同燃料（如天然气，柴油，氢，氨，甲醇等）火焰的适应性问题，针对干式低氮燃烧器预混火焰的回火挂火监测需求，和燃烧稳定性的诊断需求，本项目拟采用光学图像分析的方法，构建一套火焰检测装置，实现（1）可替代当前常规的基于紫外或红外波段的火焰探测器，（2）同时具备回火挂火检测的功能，（3）并可对火焰接近熄火边界做出预测。</w:t>
      </w:r>
    </w:p>
    <w:p w14:paraId="345C47BF">
      <w:pPr>
        <w:spacing w:line="560" w:lineRule="exact"/>
        <w:ind w:firstLine="643" w:firstLineChars="200"/>
        <w:jc w:val="both"/>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研究内容：</w:t>
      </w:r>
    </w:p>
    <w:p w14:paraId="1446E71E">
      <w:pPr>
        <w:numPr>
          <w:ilvl w:val="0"/>
          <w:numId w:val="1"/>
        </w:num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高清内窥式相机的选取及研究</w:t>
      </w:r>
    </w:p>
    <w:p w14:paraId="06353AAC">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选取并封装适合于燃气轮机燃烧室安装的小尺寸高清内窥式相机，能在较高的燃烧室环境的工作温度下长时间运行，并具较高的分辨率，视角能覆盖燃烧室喷嘴的大部。为了能抓取分析火焰临近熄火边界的燃烧不稳定现象，需考虑采用2000-5000fps的高速相机。</w:t>
      </w:r>
    </w:p>
    <w:p w14:paraId="30E16277">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（2）点火、回火及火焰不稳定的分析算法</w:t>
      </w:r>
    </w:p>
    <w:p w14:paraId="5B3449A0">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首先搭建实验室级别的小型燃烧装置，针对不同燃料构建火焰特征图谱。根据火焰发光的强度（亮度）及闪烁的频率进行分析，构建点火成功，喷嘴回火和火焰邻近熄火的特征算法模型。为了得到更高的上述算法模型的精度和可靠性，可以将燃烧室脉动压力信息引入算法模型中，此综合算法模型最终可整合进入燃机的控制程序参与燃机的性能优化。</w:t>
      </w:r>
    </w:p>
    <w:p w14:paraId="5430BEBC">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（3）冷却系统的设计</w:t>
      </w:r>
    </w:p>
    <w:p w14:paraId="2A53FE87">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目前的相机技术使用的电子元器件及镀膜镜头（或光纤）一般都不能耐受过高的温度。为了能够对高温燃烧室内部进行可靠的长周期观察，相机必须配备冷却系统。虽然水冷方式可以得到更好的冷却效果，但系统对水质的要求较高，同时水泄露后对燃机会有损害。因此冷却系统采用空气冷却，在启动过程中具防结雾功能，在正常运行时吹扫气对镜头防尘吹扫，并根据相机温度实时调整冷却气用量。</w:t>
      </w:r>
    </w:p>
    <w:p w14:paraId="24987123">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（4）燃烧部件试验台的验证</w:t>
      </w:r>
    </w:p>
    <w:p w14:paraId="0063C17F">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在单筒燃烧室部件试验台进行实测验证，进行不同燃料的点火状态判断的可靠性测试，对回火事件判断的可靠性测试，以及邻近熄火边界的火焰不稳定预测，在接近实际应用环境下对冷却系统的有效性和相机的耐久性进行评估。</w:t>
      </w:r>
    </w:p>
    <w:p w14:paraId="28F3490D">
      <w:pPr>
        <w:spacing w:line="560" w:lineRule="exact"/>
        <w:ind w:firstLine="643" w:firstLineChars="200"/>
        <w:jc w:val="both"/>
        <w:rPr>
          <w:rFonts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 xml:space="preserve">预期成果： </w:t>
      </w:r>
    </w:p>
    <w:p w14:paraId="05B55C36">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（1）一套具备高速曝光功能的高清内窥式相机；</w:t>
      </w:r>
    </w:p>
    <w:p w14:paraId="55ADF9C5">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（2）一套为保证相机在高温环境下长期工作的空气冷却系统；</w:t>
      </w:r>
    </w:p>
    <w:p w14:paraId="4E50E880">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（3）多燃料点火火焰建立判断算法；</w:t>
      </w:r>
    </w:p>
    <w:p w14:paraId="328D3F27">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（4）燃料喷嘴回火判断算法；</w:t>
      </w:r>
    </w:p>
    <w:p w14:paraId="6758EC4D">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（5）火焰临近熄火边界预测算法。</w:t>
      </w:r>
    </w:p>
    <w:p w14:paraId="5BD85564">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（6）申报国家发明专利不少于2项，发表SCI论文不少于1篇。</w:t>
      </w:r>
    </w:p>
    <w:p w14:paraId="0670588F">
      <w:pPr>
        <w:spacing w:line="560" w:lineRule="exact"/>
        <w:ind w:firstLine="643" w:firstLineChars="200"/>
        <w:jc w:val="both"/>
        <w:rPr>
          <w:rFonts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 xml:space="preserve">考核指标： </w:t>
      </w:r>
    </w:p>
    <w:p w14:paraId="5540692B">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（1）点火成功判断误报率小于1%；</w:t>
      </w:r>
    </w:p>
    <w:p w14:paraId="3CA7C429">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（2）燃料喷嘴回火判断误报率小于1%；</w:t>
      </w:r>
    </w:p>
    <w:p w14:paraId="465A9336">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（3）邻近熄火边界预测准确率高于90%；</w:t>
      </w:r>
    </w:p>
    <w:p w14:paraId="376FCC57">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（4）相机应用于G/H级燃机最高工作温度下。</w:t>
      </w:r>
    </w:p>
    <w:p w14:paraId="7FE94C5E">
      <w:pPr>
        <w:spacing w:line="560" w:lineRule="exact"/>
        <w:ind w:firstLine="643"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研究周期：</w:t>
      </w:r>
      <w:r>
        <w:rPr>
          <w:rFonts w:ascii="仿宋_GB2312" w:hAnsi="仿宋_GB2312" w:eastAsia="仿宋_GB2312" w:cs="仿宋_GB2312"/>
          <w:sz w:val="32"/>
          <w:szCs w:val="32"/>
          <w:lang w:eastAsia="zh-CN"/>
        </w:rPr>
        <w:t>12</w:t>
      </w:r>
      <w:r>
        <w:rPr>
          <w:rFonts w:hint="eastAsia" w:ascii="仿宋_GB2312" w:hAnsi="仿宋_GB2312" w:eastAsia="仿宋_GB2312" w:cs="仿宋_GB2312"/>
          <w:sz w:val="32"/>
          <w:szCs w:val="32"/>
          <w:lang w:eastAsia="zh-CN"/>
        </w:rPr>
        <w:t xml:space="preserve">个月 </w:t>
      </w:r>
    </w:p>
    <w:p w14:paraId="29A9E103">
      <w:pPr>
        <w:spacing w:line="560" w:lineRule="exact"/>
        <w:ind w:firstLine="643" w:firstLineChars="200"/>
        <w:jc w:val="both"/>
        <w:rPr>
          <w:rFonts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研究经费：</w:t>
      </w:r>
      <w:r>
        <w:rPr>
          <w:rFonts w:hint="eastAsia" w:ascii="仿宋_GB2312" w:hAnsi="仿宋_GB2312" w:eastAsia="仿宋_GB2312" w:cs="仿宋_GB2312"/>
          <w:sz w:val="32"/>
          <w:szCs w:val="32"/>
          <w:lang w:eastAsia="zh-CN"/>
        </w:rPr>
        <w:t>不超过200万元</w:t>
      </w:r>
    </w:p>
    <w:p w14:paraId="616F0B6C">
      <w:pPr>
        <w:ind w:firstLine="643" w:firstLineChars="200"/>
        <w:rPr>
          <w:rFonts w:ascii="黑体" w:hAnsi="黑体" w:eastAsia="黑体"/>
          <w:b/>
          <w:bCs/>
          <w:sz w:val="32"/>
          <w:szCs w:val="32"/>
          <w:lang w:eastAsia="zh-CN"/>
        </w:rPr>
      </w:pPr>
    </w:p>
    <w:p w14:paraId="2704C576">
      <w:pPr>
        <w:spacing w:line="560" w:lineRule="exact"/>
        <w:ind w:firstLine="643" w:firstLineChars="200"/>
        <w:rPr>
          <w:rFonts w:ascii="黑体" w:hAnsi="黑体" w:eastAsia="黑体"/>
          <w:b/>
          <w:bCs/>
          <w:sz w:val="32"/>
          <w:szCs w:val="32"/>
          <w:lang w:eastAsia="zh-CN"/>
        </w:rPr>
      </w:pPr>
      <w:r>
        <w:rPr>
          <w:rFonts w:ascii="黑体" w:hAnsi="黑体" w:eastAsia="黑体"/>
          <w:b/>
          <w:bCs/>
          <w:sz w:val="32"/>
          <w:szCs w:val="32"/>
          <w:lang w:eastAsia="zh-CN"/>
        </w:rPr>
        <w:t>2</w:t>
      </w:r>
      <w:r>
        <w:rPr>
          <w:rFonts w:hint="eastAsia" w:ascii="黑体" w:hAnsi="黑体" w:eastAsia="黑体"/>
          <w:b/>
          <w:bCs/>
          <w:sz w:val="32"/>
          <w:szCs w:val="32"/>
          <w:lang w:eastAsia="zh-CN"/>
        </w:rPr>
        <w:t>.面向新型电力系统的燃气轮机机电耦合多时间尺度实时仿真研究</w:t>
      </w:r>
    </w:p>
    <w:p w14:paraId="6BDCADFE">
      <w:pPr>
        <w:spacing w:line="560" w:lineRule="exact"/>
        <w:ind w:firstLine="643" w:firstLineChars="200"/>
        <w:jc w:val="both"/>
        <w:rPr>
          <w:rFonts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项目编号：ZRUIC202</w:t>
      </w:r>
      <w:r>
        <w:rPr>
          <w:rFonts w:hint="eastAsia" w:ascii="仿宋_GB2312" w:hAnsi="仿宋_GB2312" w:eastAsia="仿宋_GB2312" w:cs="仿宋_GB2312"/>
          <w:b/>
          <w:bCs/>
          <w:sz w:val="32"/>
          <w:szCs w:val="32"/>
          <w:lang w:val="en-US" w:eastAsia="zh-CN"/>
        </w:rPr>
        <w:t>7</w:t>
      </w:r>
      <w:r>
        <w:rPr>
          <w:rFonts w:hint="eastAsia" w:ascii="仿宋_GB2312" w:hAnsi="仿宋_GB2312" w:eastAsia="仿宋_GB2312" w:cs="仿宋_GB2312"/>
          <w:b/>
          <w:bCs/>
          <w:sz w:val="32"/>
          <w:szCs w:val="32"/>
          <w:lang w:eastAsia="zh-CN"/>
        </w:rPr>
        <w:t>02</w:t>
      </w:r>
    </w:p>
    <w:p w14:paraId="7ECC26C5">
      <w:pPr>
        <w:spacing w:line="560" w:lineRule="exact"/>
        <w:ind w:firstLine="643"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项目背景：</w:t>
      </w:r>
      <w:r>
        <w:rPr>
          <w:rFonts w:hint="eastAsia" w:ascii="仿宋_GB2312" w:hAnsi="仿宋_GB2312" w:eastAsia="仿宋_GB2312" w:cs="仿宋_GB2312"/>
          <w:sz w:val="32"/>
          <w:szCs w:val="32"/>
          <w:lang w:eastAsia="zh-CN"/>
        </w:rPr>
        <w:t>新型电力系统正加速构建，电源结构由传统同步机主导逐步向高比例新能源与电力电子装备深度渗透的低惯量、弱支撑与强波动系统演进。燃气轮机作为关键的灵活调节供电设备，其运行模式已由传统强电网条件下的基荷供电，延伸拓展至微电网支撑、孤岛独立供电及多能协同互补等多元复杂运行场景，成为新型电力系统中承担深度调峰调频与电网动态稳定支撑的核心设备。电网扰动不仅影响燃气轮机运行状态，同时燃气轮机调速与励磁系统的动态响应亦会反向影响电网稳定性，形成显著的机电耦合反馈。燃气轮机系统本身集电气、机械与控制于一体，其动态行为跨越电磁、机电及控制等非线性且强耦合的多时间尺度。现有分环节或单时间尺度建模方法难以统一刻画多物理域耦合机理与扰动传播全过程。因此，亟需建立面向新型电力系统的燃气轮机机电耦合多时间尺度实时仿真平台，以支撑动态机理研究与控制策略优化。</w:t>
      </w:r>
    </w:p>
    <w:p w14:paraId="096E4DCA">
      <w:pPr>
        <w:spacing w:line="560" w:lineRule="exact"/>
        <w:ind w:firstLine="643"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项目目标：</w:t>
      </w:r>
      <w:r>
        <w:rPr>
          <w:rFonts w:hint="eastAsia" w:ascii="仿宋_GB2312" w:hAnsi="仿宋_GB2312" w:eastAsia="仿宋_GB2312" w:cs="仿宋_GB2312"/>
          <w:sz w:val="32"/>
          <w:szCs w:val="32"/>
          <w:lang w:eastAsia="zh-CN"/>
        </w:rPr>
        <w:t>本项目拟构建支持多时间尺度模型差异化运行的实时仿真平台，并建立面向不同工程需求的发电机组多时间尺度模型体系：（1）面向机电暂态过程分析与机组级控制策略验证的机电暂态级发电机组模型，重点刻画发电机转子运动、励磁调节及调速系统交互特性；（2）面向电磁暂态过程分析与电力电子装备控制策略验证的电磁暂态级发电机组模型，重点刻画发电机内部电磁暂态过程、磁路饱和、空间谐波及绕组分布效应。通过两类模型的协同开发、参数同源保证与典型场景验证，形成适应不同工程需求的多时间尺度模型架构，为燃气轮机机电暂态过程分析与机组级控制策略验证、电磁暂态过程分析与电力电子装备控制策略验证提供高可信仿真支撑。</w:t>
      </w:r>
    </w:p>
    <w:p w14:paraId="22FB0D20">
      <w:pPr>
        <w:spacing w:line="560" w:lineRule="exact"/>
        <w:ind w:firstLine="643" w:firstLineChars="200"/>
        <w:jc w:val="both"/>
        <w:rPr>
          <w:rFonts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研究内容：</w:t>
      </w:r>
    </w:p>
    <w:p w14:paraId="1F72D8BD">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（1）多时间尺度实时仿真平台构建</w:t>
      </w:r>
    </w:p>
    <w:p w14:paraId="6434877F">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面向新型电力系统下燃气轮机电-机-热多物理域动态仿真需求，构建支持多时间尺度模型差异化运行的实时仿真平台。基于多速率协同解算方法，建立电-机-热之间的模型映射与任务分配机制，实现不同物理域模型在统一仿真框架下的协同运行。针对不同尺度模型的计算负载差异，设计异构并行实时计算架构，并建立物理域任务动态映射策略与计算资源调度机制。</w:t>
      </w:r>
    </w:p>
    <w:p w14:paraId="6A646B8E">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（2）多时间尺度发电机组模型开发</w:t>
      </w:r>
    </w:p>
    <w:p w14:paraId="7C59EEB5">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机电暂态级发电机组模型开发。建立机电暂态精度的同步发电机实时模型，涵盖转子运动方程、定转子电压电流方程、励磁系统动态、转矩-转速耦合及与调速系统的接口特性。该模型需准确反映电网频率/电压扰动下，发电机电磁转矩和功率响应、转速变化及励磁调节，适用于调峰调频等应用场景，并为调速、励磁、AGC/AVC等机组级控制策略验证提供可靠的实时模型。</w:t>
      </w:r>
    </w:p>
    <w:p w14:paraId="6D56F11B">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电磁暂态级发电机组模型开发。建立电磁暂态精度的同步发电机精细模型，完整保留定子绕组电磁暂态方程，包含转子阻尼绕组、磁路饱和特性、空间谐波及绕组分布效应等细节。模型支持与变频启动装置、储能变流器、静止无功补偿器等电力电子装备模型的联合仿真，能够精确复现不对称故障、非全相运行、低频运行、非正弦供电等工况下磁场畸变、转矩脉动、谐波注入及转子位置辨识等关键物理过程，并预留与燃机主机模型接口，可用于控制策略验证。</w:t>
      </w:r>
    </w:p>
    <w:p w14:paraId="55774866">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（3）典型场景验证</w:t>
      </w:r>
    </w:p>
    <w:p w14:paraId="05403214">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面向机电暂态过程分析与机组级控制策略验证的场景验证。面向微电网、孤网、大电网（新能源大规模接入）等不同情况的接入，将发电机模型（含励磁）、变频启动装置集成至实时仿真平台（毫秒级），构建机电暂态过程分析与机组级控制策略验证体系，覆盖同步并网、一次调频、甩负荷、突加负荷、AGC/AVC控制策略验证等工况。</w:t>
      </w:r>
    </w:p>
    <w:p w14:paraId="5305AB12">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面向电磁暂态过程分析与电力电子装备控制策略验证的场景验证。将燃机岛电气系统各设备模型集成至实时仿真平台（微秒级），搭建变频启动装置、励磁系统控制策略验证的精细仿真场景，覆盖配合主机变频启动、轻吹、点火、升速、并网、升负荷等稳态运行工况，同时覆盖短路、电力电子设备丢脉冲、非全相运行等异常工况。</w:t>
      </w:r>
    </w:p>
    <w:p w14:paraId="0A4B0850">
      <w:pPr>
        <w:spacing w:line="560" w:lineRule="exact"/>
        <w:ind w:firstLine="643" w:firstLineChars="200"/>
        <w:jc w:val="both"/>
        <w:rPr>
          <w:rFonts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预期成果：</w:t>
      </w:r>
    </w:p>
    <w:p w14:paraId="7057B74F">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（1）软硬件一体化多时间尺度实时仿真平台1套；</w:t>
      </w:r>
    </w:p>
    <w:p w14:paraId="45452AC6">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（2）面向对象建模方式的燃机岛电气模型库1套，提供源代码，可实现在中国重燃实时仿真平台集成并运行；</w:t>
      </w:r>
    </w:p>
    <w:p w14:paraId="73564A45">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（3）典型场景仿真模型≥2套；</w:t>
      </w:r>
    </w:p>
    <w:p w14:paraId="6DAA21B0">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（4）典型场景仿真建模与验证报告1份。</w:t>
      </w:r>
    </w:p>
    <w:p w14:paraId="77AAB23D">
      <w:pPr>
        <w:spacing w:line="560" w:lineRule="exact"/>
        <w:ind w:firstLine="643" w:firstLineChars="200"/>
        <w:jc w:val="both"/>
        <w:rPr>
          <w:rFonts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考核指标：</w:t>
      </w:r>
    </w:p>
    <w:p w14:paraId="3496886D">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（1）模型库对新型电力系统关键系统及环节覆盖率≥95%，包括但不限于发电机、励磁系统、同期装置、GCB、变频启动装置、变压器等；</w:t>
      </w:r>
    </w:p>
    <w:p w14:paraId="0D90FA17">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（2）面向机电动态分析与机组级控制策略验证的模型库及典型场景仿真模型能在中国重燃实时仿真平台集成并运行；</w:t>
      </w:r>
    </w:p>
    <w:p w14:paraId="2E5151ED">
      <w:pPr>
        <w:spacing w:line="560" w:lineRule="exact"/>
        <w:ind w:firstLine="640" w:firstLineChars="200"/>
        <w:jc w:val="both"/>
        <w:rPr>
          <w:rFonts w:ascii="仿宋_GB2312" w:hAnsi="仿宋_GB2312" w:eastAsia="仿宋_GB2312" w:cs="仿宋_GB2312"/>
          <w:sz w:val="32"/>
          <w:szCs w:val="32"/>
          <w:lang w:eastAsia="zh-CN"/>
        </w:rPr>
      </w:pPr>
      <w:bookmarkStart w:id="0" w:name="OLE_LINK11"/>
      <w:r>
        <w:rPr>
          <w:rFonts w:hint="eastAsia" w:ascii="仿宋_GB2312" w:hAnsi="仿宋_GB2312" w:eastAsia="仿宋_GB2312" w:cs="仿宋_GB2312"/>
          <w:sz w:val="32"/>
          <w:szCs w:val="32"/>
          <w:lang w:eastAsia="zh-CN"/>
        </w:rPr>
        <w:t>（3）</w:t>
      </w:r>
      <w:bookmarkEnd w:id="0"/>
      <w:r>
        <w:rPr>
          <w:rFonts w:hint="eastAsia" w:ascii="仿宋_GB2312" w:hAnsi="仿宋_GB2312" w:eastAsia="仿宋_GB2312" w:cs="仿宋_GB2312"/>
          <w:sz w:val="32"/>
          <w:szCs w:val="32"/>
          <w:lang w:eastAsia="zh-CN"/>
        </w:rPr>
        <w:t>多时间尺度实时仿真平台具备电磁暂态、机电暂态及热力过程的实时仿真能力，仿真步长满足典型应用场景的实时性需求；</w:t>
      </w:r>
    </w:p>
    <w:p w14:paraId="451E559F">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（4）典型应用场景模型关键参数稳态相对误差≤1%，其它非关键参数稳态相对误差≤5%。</w:t>
      </w:r>
    </w:p>
    <w:p w14:paraId="1F576CBD">
      <w:pPr>
        <w:spacing w:line="560" w:lineRule="exact"/>
        <w:ind w:firstLine="643"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研究周期：</w:t>
      </w:r>
      <w:r>
        <w:rPr>
          <w:rFonts w:ascii="仿宋_GB2312" w:hAnsi="仿宋_GB2312" w:eastAsia="仿宋_GB2312" w:cs="仿宋_GB2312"/>
          <w:sz w:val="32"/>
          <w:szCs w:val="32"/>
          <w:lang w:eastAsia="zh-CN"/>
        </w:rPr>
        <w:t>12</w:t>
      </w:r>
      <w:r>
        <w:rPr>
          <w:rFonts w:hint="eastAsia" w:ascii="仿宋_GB2312" w:hAnsi="仿宋_GB2312" w:eastAsia="仿宋_GB2312" w:cs="仿宋_GB2312"/>
          <w:sz w:val="32"/>
          <w:szCs w:val="32"/>
          <w:lang w:eastAsia="zh-CN"/>
        </w:rPr>
        <w:t>个月</w:t>
      </w:r>
    </w:p>
    <w:p w14:paraId="5FA5DE26">
      <w:pPr>
        <w:spacing w:line="560" w:lineRule="exact"/>
        <w:ind w:firstLine="643" w:firstLineChars="200"/>
        <w:jc w:val="both"/>
        <w:rPr>
          <w:rFonts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研究经费：</w:t>
      </w:r>
      <w:r>
        <w:rPr>
          <w:rFonts w:hint="eastAsia" w:ascii="仿宋_GB2312" w:hAnsi="仿宋_GB2312" w:eastAsia="仿宋_GB2312" w:cs="仿宋_GB2312"/>
          <w:sz w:val="32"/>
          <w:szCs w:val="32"/>
          <w:lang w:eastAsia="zh-CN"/>
        </w:rPr>
        <w:t>不超过200万元</w:t>
      </w:r>
    </w:p>
    <w:p w14:paraId="76620122">
      <w:pPr>
        <w:ind w:firstLine="643" w:firstLineChars="200"/>
        <w:rPr>
          <w:rFonts w:ascii="黑体" w:hAnsi="黑体" w:eastAsia="黑体"/>
          <w:b/>
          <w:bCs/>
          <w:sz w:val="32"/>
          <w:szCs w:val="32"/>
          <w:lang w:eastAsia="zh-CN"/>
        </w:rPr>
      </w:pPr>
    </w:p>
    <w:p w14:paraId="27106861">
      <w:pPr>
        <w:spacing w:line="560" w:lineRule="exact"/>
        <w:ind w:firstLine="643" w:firstLineChars="200"/>
        <w:rPr>
          <w:rFonts w:ascii="黑体" w:hAnsi="黑体" w:eastAsia="黑体"/>
          <w:b/>
          <w:bCs/>
          <w:sz w:val="32"/>
          <w:szCs w:val="32"/>
          <w:lang w:eastAsia="zh-CN"/>
        </w:rPr>
      </w:pPr>
      <w:r>
        <w:rPr>
          <w:rFonts w:ascii="黑体" w:hAnsi="黑体" w:eastAsia="黑体"/>
          <w:b/>
          <w:bCs/>
          <w:sz w:val="32"/>
          <w:szCs w:val="32"/>
          <w:lang w:eastAsia="zh-CN"/>
        </w:rPr>
        <w:t>3</w:t>
      </w:r>
      <w:r>
        <w:rPr>
          <w:rFonts w:hint="eastAsia" w:ascii="黑体" w:hAnsi="黑体" w:eastAsia="黑体"/>
          <w:b/>
          <w:bCs/>
          <w:sz w:val="32"/>
          <w:szCs w:val="32"/>
          <w:lang w:eastAsia="zh-CN"/>
        </w:rPr>
        <w:t>.外部能场耦合激光修复镍基燃气轮机透平叶片的组织演变与性能调控研究</w:t>
      </w:r>
    </w:p>
    <w:p w14:paraId="7B6C78BE">
      <w:pPr>
        <w:spacing w:line="560" w:lineRule="exact"/>
        <w:ind w:firstLine="643" w:firstLineChars="200"/>
        <w:jc w:val="both"/>
        <w:rPr>
          <w:rFonts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项目编号：ZRUIC202</w:t>
      </w:r>
      <w:r>
        <w:rPr>
          <w:rFonts w:hint="eastAsia" w:ascii="仿宋_GB2312" w:hAnsi="仿宋_GB2312" w:eastAsia="仿宋_GB2312" w:cs="仿宋_GB2312"/>
          <w:b/>
          <w:bCs/>
          <w:sz w:val="32"/>
          <w:szCs w:val="32"/>
          <w:lang w:val="en-US" w:eastAsia="zh-CN"/>
        </w:rPr>
        <w:t>7</w:t>
      </w:r>
      <w:r>
        <w:rPr>
          <w:rFonts w:hint="eastAsia" w:ascii="仿宋_GB2312" w:hAnsi="仿宋_GB2312" w:eastAsia="仿宋_GB2312" w:cs="仿宋_GB2312"/>
          <w:b/>
          <w:bCs/>
          <w:sz w:val="32"/>
          <w:szCs w:val="32"/>
          <w:lang w:eastAsia="zh-CN"/>
        </w:rPr>
        <w:t>03</w:t>
      </w:r>
    </w:p>
    <w:p w14:paraId="156793EA">
      <w:pPr>
        <w:spacing w:line="560" w:lineRule="exact"/>
        <w:ind w:firstLine="643"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项目背景：</w:t>
      </w:r>
      <w:r>
        <w:rPr>
          <w:rFonts w:hint="eastAsia" w:ascii="仿宋_GB2312" w:hAnsi="仿宋_GB2312" w:eastAsia="仿宋_GB2312" w:cs="仿宋_GB2312"/>
          <w:sz w:val="32"/>
          <w:szCs w:val="32"/>
          <w:lang w:eastAsia="zh-CN"/>
        </w:rPr>
        <w:t>镍基燃气轮机透平叶片是承受高温燃气、腐蚀氧化和高离心载荷的关键热端部件，服役中易出现组织退化、蠕变裂纹、烧蚀和微动磨损，影响整机安全与寿命。该类叶片制造成本高、周期长，直接更换经济代价大，修复再制造是降低全寿命成本的重要途径。激光修复具有局部精确成形、热影响区小等优势，但仍面临熔池传热传质难调控、裂纹气孔易形成、组织与性能恢复不稳定等问题。热场、磁场、电场等外部能场可与激光熔池耦合，调控流动、凝固与缺陷演化。因此，亟需开展外部能场耦合激光修复镍基燃气轮机透平叶片的组织演变与性能调控研究，为热端部件高可靠修复提供支撑。</w:t>
      </w:r>
    </w:p>
    <w:p w14:paraId="05BA2847">
      <w:pPr>
        <w:spacing w:line="560" w:lineRule="exact"/>
        <w:ind w:firstLine="643"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项目目标：</w:t>
      </w:r>
      <w:r>
        <w:rPr>
          <w:rFonts w:hint="eastAsia" w:ascii="仿宋_GB2312" w:hAnsi="仿宋_GB2312" w:eastAsia="仿宋_GB2312" w:cs="仿宋_GB2312"/>
          <w:sz w:val="32"/>
          <w:szCs w:val="32"/>
          <w:lang w:eastAsia="zh-CN"/>
        </w:rPr>
        <w:t>针对镍基燃气轮机透平叶片高性能、高效率修复需求，开展外部能场辅助激光修复组织演变与性能调控研究。明确外加磁场、电场及激光工艺参数对熔池稳定性、典型缺陷、凝固组织和界面冶金结合的影响规律；突破外部能场耦合激光修复过程中的界面冶金结合、缺陷抑制、组织性能协同优化及变形开裂控制等关键技术；优化关键修复参数及修复后热处理参数，形成具有明确边界的激光修复工艺窗口图；完成典型局部损伤修复样件及组织、缺陷、残余应力和力学性能实验验证，为镍基燃气轮机透平叶片局部损伤修复工艺优化提供理论与实验依据。</w:t>
      </w:r>
    </w:p>
    <w:p w14:paraId="45FC0B5B">
      <w:pPr>
        <w:spacing w:line="560" w:lineRule="exact"/>
        <w:ind w:firstLine="643" w:firstLineChars="200"/>
        <w:jc w:val="both"/>
        <w:rPr>
          <w:rFonts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研究内容：</w:t>
      </w:r>
    </w:p>
    <w:p w14:paraId="274DFDBA">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（1）燃机叶片外部能场辅助激光修复多尺度数值模拟</w:t>
      </w:r>
    </w:p>
    <w:p w14:paraId="525D602B">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建立覆盖熔池热－流－溶质输运、凝固组织演化、强化相析出及性能预测的多尺度数值模拟方法，揭示激光热源、外部能场、粉末沉积、熔池流动、溶质再分配与残余应力之间的耦合机制，构建修复工艺参数、熔池形貌、组织尺度及性能指标的关联预测模型，为工艺窗口优化提供理论支撑。</w:t>
      </w:r>
    </w:p>
    <w:p w14:paraId="404EE9AA">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（2）燃机叶片外部能场辅助激光修复熔池动力学与缺陷抑制机理</w:t>
      </w:r>
    </w:p>
    <w:p w14:paraId="6E4A1628">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开展热场、磁场、电场及其复合能场调控下的激光修复熔池行为实验研究，揭示外部能场对熔池温度梯度、流动形态、熔深熔宽、稀释率及凝固界面的影响规律。阐明气孔、夹杂、未熔合、元素偏析及热裂纹等典型缺陷的形成机制，明确外部能场驱动熔体流动、促进气泡/夹杂物迁移逸出、抑制偏析及降低裂纹敏感性的作用机理，建立多能场参数与修复缺陷控制、熔池稳定性及组织均匀性之间的内在关联。</w:t>
      </w:r>
    </w:p>
    <w:p w14:paraId="1CB50690">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（3）燃机叶片外部能场辅助激光修复凝固组织演化和界面匹配机制</w:t>
      </w:r>
    </w:p>
    <w:p w14:paraId="4A13415E">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研究镍基高温合金修复区晶粒外延生长、取向竞争、柱状晶/等轴晶转变及杂晶抑制规律，揭示枝晶偏析、晶界特征及</w:t>
      </w:r>
      <w:r>
        <w:rPr>
          <w:rFonts w:hint="eastAsia" w:ascii="仿宋_GB2312" w:hAnsi="仿宋_GB2312" w:eastAsia="仿宋_GB2312" w:cs="仿宋_GB2312"/>
          <w:sz w:val="32"/>
          <w:szCs w:val="32"/>
        </w:rPr>
        <w:t>γ</w:t>
      </w:r>
      <w:r>
        <w:rPr>
          <w:rFonts w:hint="eastAsia" w:ascii="仿宋_GB2312" w:hAnsi="仿宋_GB2312" w:eastAsia="仿宋_GB2312" w:cs="仿宋_GB2312"/>
          <w:sz w:val="32"/>
          <w:szCs w:val="32"/>
          <w:lang w:eastAsia="zh-CN"/>
        </w:rPr>
        <w:t>'-Ni3Al强化相析出、回溶与粗化行为。分析外部能场对修复区、热影响区与叶片基体之间组织梯度过渡、晶粒取向连续性、晶格错配和冶金结合质量的影响，建立组织演化与界面性能数值定量关联模型。</w:t>
      </w:r>
    </w:p>
    <w:p w14:paraId="1C2220BD">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（4）燃机叶片外部能场辅助激光修复工艺及后处理制度优化</w:t>
      </w:r>
    </w:p>
    <w:p w14:paraId="02DD3741">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系统研究激光功率、扫描速度、送粉量、搭接率、预热温度、外场强度及加载方式、修复路径等关键参数对成形质量、组织均匀性、裂纹敏感性和残余应力的影响规律；优化点、线、面及多层修复工艺策略，建立低孔隙、低裂纹、低残余应力的工艺窗口。开展修复后热处理与应力调控研究，形成面向典型高温合金叶片材料的组织与性能恢复热处理制度。</w:t>
      </w:r>
    </w:p>
    <w:p w14:paraId="2AB2B4A0">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（5）燃机叶片激光修复质量评价与工艺规范制定</w:t>
      </w:r>
    </w:p>
    <w:p w14:paraId="3114C34B">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开展修复区显微组织、缺陷分布、尺寸精度及硬度、残余应力、室温拉伸及疲劳/持久性能实验，根据材料和典型服役工况选择具有代表性的高温性能指标进行验证。对优化前后及常规激光修复工艺进行对比分析，验证所建立组织—界面性能关联模型和工艺窗口的有效性，形成包含实验方法、实验参数、原始数据、组织表征结果、力学性能结果、模型验证结果及工艺窗口图的研究报告。</w:t>
      </w:r>
    </w:p>
    <w:p w14:paraId="7C55A3DF">
      <w:pPr>
        <w:spacing w:line="560" w:lineRule="exact"/>
        <w:ind w:firstLine="643" w:firstLineChars="200"/>
        <w:jc w:val="both"/>
        <w:rPr>
          <w:rFonts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 xml:space="preserve">预期成果： </w:t>
      </w:r>
    </w:p>
    <w:p w14:paraId="7940FEF7">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建立典型镍基高温合金燃机叶片材料激光修复“过程－组织－性能”多尺度数值模拟方法及工艺参数优化模型1套，交付模型计算文件、关键参数及模型验证成果，形成软件著作权、数据知识产权登记不少于1项；</w:t>
      </w:r>
    </w:p>
    <w:p w14:paraId="653099E2">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（2）建立组织特征—界面性能二次响应面/多元回归定量关联模型1套，明确主要组织参数对界面性能的影响权重，并形成模型验证数据，申请项目相关发明专利不少于2件；</w:t>
      </w:r>
    </w:p>
    <w:p w14:paraId="722624B8">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（3）揭示多能场辅助激光修复条件下熔池传热传质、缺陷形成与组织调控机理，阐明修复区凝固组织演化、界面匹配及性能恢复机制，发表项目相关SCI/EI论文不少于4篇；</w:t>
      </w:r>
    </w:p>
    <w:p w14:paraId="53EB03F2">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（4）形成典型材料外部能场辅助激光修复工艺窗口图不少于2张，至少包括激光功率－扫描速度基础窗口图1张以及包含外场强度参数的性能窗口图1张，明确稳定成形区、缺陷敏感区和性能达标区；</w:t>
      </w:r>
    </w:p>
    <w:p w14:paraId="25AFF234">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（5）完成局部修复验证样件不少于2件，形成组织、缺陷、残余应力及力学性能评价报告1份。</w:t>
      </w:r>
    </w:p>
    <w:p w14:paraId="23540E05">
      <w:pPr>
        <w:spacing w:line="560" w:lineRule="exact"/>
        <w:ind w:firstLine="643" w:firstLineChars="200"/>
        <w:jc w:val="both"/>
        <w:rPr>
          <w:rFonts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 xml:space="preserve">考核指标： </w:t>
      </w:r>
    </w:p>
    <w:p w14:paraId="70B71AE3">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建立激光修复“过程－组织－性能”多尺度数值模拟模型，对比相同工艺参数条件下独立实验结果进行验证；模型预测熔池宽度/深度预测平均相对误差≤15%，特征温度场预测平均相对误差≤15%，一次枝晶臂间距或等效组织尺度预测误差≤20%；</w:t>
      </w:r>
    </w:p>
    <w:p w14:paraId="1F01D34D">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（2）建立多能场辅助激光修复熔池传热传质与缺陷形成分析方法，阐明外部能场（磁场/电场）参数对熔池形貌、缺陷分布及凝固组织的影响规律，揭示典型高温合金叶片材料修复缺陷调控机制；</w:t>
      </w:r>
    </w:p>
    <w:p w14:paraId="5A690129">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3）形成至少1种典型高温合金叶片材料（如GTD111）的多能场辅助激光修复工艺窗口，形成不少于2张包含激光功率、扫描速度及外场强度等关键参数的工艺窗口图，明确稳定成形区、缺陷敏感区及性能达标区；典型修复样件无贯穿裂纹，修复区内气孔、未熔合及夹杂缺陷按照 GB/T 42401—2023《激光熔覆修复 缺陷质量分级》进行检测与评价，缺陷质量达到Ⅱ级或优于Ⅱ级；</w:t>
      </w:r>
    </w:p>
    <w:p w14:paraId="11187174">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（4）建立修复区组织性能恢复方法，修复区室温抗拉强度≥同材质基体90%，高温拉伸或持久性能≥同材质基体80%；</w:t>
      </w:r>
    </w:p>
    <w:p w14:paraId="53556943">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（5）形成修复后热处理与应力调控制度，修复区残余应力较修复态降低≥25%，修复区硬度分布均匀，相对平均硬度值偏差控制在±10%以内。</w:t>
      </w:r>
    </w:p>
    <w:p w14:paraId="147F3AA3">
      <w:pPr>
        <w:spacing w:line="560" w:lineRule="exact"/>
        <w:ind w:firstLine="643"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研究周期：</w:t>
      </w:r>
      <w:r>
        <w:rPr>
          <w:rFonts w:ascii="仿宋_GB2312" w:hAnsi="仿宋_GB2312" w:eastAsia="仿宋_GB2312" w:cs="仿宋_GB2312"/>
          <w:sz w:val="32"/>
          <w:szCs w:val="32"/>
          <w:lang w:eastAsia="zh-CN"/>
        </w:rPr>
        <w:t>12</w:t>
      </w:r>
      <w:r>
        <w:rPr>
          <w:rFonts w:hint="eastAsia" w:ascii="仿宋_GB2312" w:hAnsi="仿宋_GB2312" w:eastAsia="仿宋_GB2312" w:cs="仿宋_GB2312"/>
          <w:sz w:val="32"/>
          <w:szCs w:val="32"/>
          <w:lang w:eastAsia="zh-CN"/>
        </w:rPr>
        <w:t xml:space="preserve">个月 </w:t>
      </w:r>
    </w:p>
    <w:p w14:paraId="10899ED4">
      <w:pPr>
        <w:spacing w:line="560" w:lineRule="exact"/>
        <w:ind w:firstLine="643"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研究经费：</w:t>
      </w:r>
      <w:r>
        <w:rPr>
          <w:rFonts w:hint="eastAsia" w:ascii="仿宋_GB2312" w:hAnsi="仿宋_GB2312" w:eastAsia="仿宋_GB2312" w:cs="仿宋_GB2312"/>
          <w:sz w:val="32"/>
          <w:szCs w:val="32"/>
          <w:lang w:eastAsia="zh-CN"/>
        </w:rPr>
        <w:t>不超过200万元</w:t>
      </w:r>
    </w:p>
    <w:p w14:paraId="15F1530C">
      <w:pPr>
        <w:ind w:firstLine="643" w:firstLineChars="200"/>
        <w:rPr>
          <w:rFonts w:ascii="黑体" w:hAnsi="黑体" w:eastAsia="黑体"/>
          <w:b/>
          <w:bCs/>
          <w:sz w:val="32"/>
          <w:szCs w:val="32"/>
          <w:lang w:eastAsia="zh-CN"/>
        </w:rPr>
      </w:pPr>
    </w:p>
    <w:p w14:paraId="060C0DC4">
      <w:pPr>
        <w:spacing w:line="560" w:lineRule="exact"/>
        <w:ind w:firstLine="643" w:firstLineChars="200"/>
        <w:rPr>
          <w:rFonts w:ascii="黑体" w:hAnsi="黑体" w:eastAsia="黑体"/>
          <w:b/>
          <w:bCs/>
          <w:sz w:val="32"/>
          <w:szCs w:val="32"/>
          <w:lang w:eastAsia="zh-CN"/>
        </w:rPr>
      </w:pPr>
      <w:r>
        <w:rPr>
          <w:rFonts w:ascii="黑体" w:hAnsi="黑体" w:eastAsia="黑体"/>
          <w:b/>
          <w:bCs/>
          <w:sz w:val="32"/>
          <w:szCs w:val="32"/>
          <w:lang w:eastAsia="zh-CN"/>
        </w:rPr>
        <w:t>4</w:t>
      </w:r>
      <w:r>
        <w:rPr>
          <w:rFonts w:hint="eastAsia" w:ascii="黑体" w:hAnsi="黑体" w:eastAsia="黑体"/>
          <w:b/>
          <w:bCs/>
          <w:sz w:val="32"/>
          <w:szCs w:val="32"/>
          <w:lang w:eastAsia="zh-CN"/>
        </w:rPr>
        <w:t>.基于光纤法珀传感的重型燃气轮机热声监测技术</w:t>
      </w:r>
    </w:p>
    <w:p w14:paraId="18B031B6">
      <w:pPr>
        <w:spacing w:line="560" w:lineRule="exact"/>
        <w:ind w:firstLine="643" w:firstLineChars="200"/>
        <w:jc w:val="both"/>
        <w:rPr>
          <w:rFonts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项目编号：ZRUIC202</w:t>
      </w:r>
      <w:r>
        <w:rPr>
          <w:rFonts w:hint="eastAsia" w:ascii="仿宋_GB2312" w:hAnsi="仿宋_GB2312" w:eastAsia="仿宋_GB2312" w:cs="仿宋_GB2312"/>
          <w:b/>
          <w:bCs/>
          <w:sz w:val="32"/>
          <w:szCs w:val="32"/>
          <w:lang w:val="en-US" w:eastAsia="zh-CN"/>
        </w:rPr>
        <w:t>7</w:t>
      </w:r>
      <w:r>
        <w:rPr>
          <w:rFonts w:hint="eastAsia" w:ascii="仿宋_GB2312" w:hAnsi="仿宋_GB2312" w:eastAsia="仿宋_GB2312" w:cs="仿宋_GB2312"/>
          <w:b/>
          <w:bCs/>
          <w:sz w:val="32"/>
          <w:szCs w:val="32"/>
          <w:lang w:eastAsia="zh-CN"/>
        </w:rPr>
        <w:t>04</w:t>
      </w:r>
    </w:p>
    <w:p w14:paraId="268603E8">
      <w:pPr>
        <w:spacing w:line="560" w:lineRule="exact"/>
        <w:ind w:firstLine="643"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项目背景：</w:t>
      </w:r>
      <w:r>
        <w:rPr>
          <w:rFonts w:hint="eastAsia" w:ascii="仿宋_GB2312" w:hAnsi="仿宋_GB2312" w:eastAsia="仿宋_GB2312" w:cs="仿宋_GB2312"/>
          <w:sz w:val="32"/>
          <w:szCs w:val="32"/>
          <w:lang w:eastAsia="zh-CN"/>
        </w:rPr>
        <w:t>在重型燃气轮机燃烧室中，高温、高压及强振动的极端工况极易诱发热声振荡，进而导致燃烧失稳，严重威胁机组的安全性与使用寿命。当前主流的燃烧室热声监测技术主要依赖压电式动态压力传感器，存在耐温能力不足、易受电磁干扰、难以实现压力与温度同点原位测量等瓶颈；同时，传感器中普遍采用的有机粘接结构在高温环境下长期可靠性较差。因此，亟需发展一种本质耐高温、抗电磁干扰，并能同步感知动态压力且具备温度补偿能力的光纤传感方案，以实现对燃烧室热声状态的高精度表征。在此背景下，开展基于温度补偿型光纤法布里-珀罗（FP）压力-温度复合传感器的研究，可为重型燃气轮机燃烧稳定性监测与主动燃烧控制提供关键技术支持。</w:t>
      </w:r>
    </w:p>
    <w:p w14:paraId="73C46BD8">
      <w:pPr>
        <w:spacing w:line="560" w:lineRule="exact"/>
        <w:ind w:firstLine="643"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项目目标：</w:t>
      </w:r>
      <w:r>
        <w:rPr>
          <w:rFonts w:hint="eastAsia" w:ascii="仿宋_GB2312" w:hAnsi="仿宋_GB2312" w:eastAsia="仿宋_GB2312" w:cs="仿宋_GB2312"/>
          <w:sz w:val="32"/>
          <w:szCs w:val="32"/>
          <w:lang w:eastAsia="zh-CN"/>
        </w:rPr>
        <w:t>针对重型燃气轮机燃烧室热声振荡对高可靠监测及多物理场同点测量的迫切需求，开展温度补偿型光纤FP温压复合传感器与热声失稳识别技术研究。形成可在25℃–1200℃宽温域（并耐受1700℃短时高温）内实现宽频响、大量程动态压力与温度同点同步测量的传感器设计方案，以及全光纤无胶制备工艺；研制出能够在燃烧室环境下长期稳定工作的光纤FP温压复合传感器样机，开发支持温度解调与高速腔长解调的多通道、双参量实时输出采集系统，掌握基于压力-温度多参量融合的燃烧热声失稳分级识别技术。研究成果将为重型燃气轮机燃烧室热声振荡的在线监测与燃烧稳定性评估提供关键技术支撑。</w:t>
      </w:r>
    </w:p>
    <w:p w14:paraId="5D99BC8C">
      <w:pPr>
        <w:spacing w:line="560" w:lineRule="exact"/>
        <w:ind w:firstLine="643" w:firstLineChars="200"/>
        <w:jc w:val="both"/>
        <w:rPr>
          <w:rFonts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研究内容：</w:t>
      </w:r>
    </w:p>
    <w:p w14:paraId="2DB13B2A">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（1）光纤FP压力-温度复合敏感机理与高温结构设计研究</w:t>
      </w:r>
    </w:p>
    <w:p w14:paraId="3E269916">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研究基于光纤FP干涉结构的动态压力与温度复合敏感机理，探明温度补偿与双参量解耦原理。建立多物理场耦合模型，分析高温下压力-温度交叉敏感特性，协同优化FP腔长、敏感膜片及温度补偿单元的关键参数，满足25 ℃-1200 ℃宽温域、宽压量程、宽频响及高线性度指标，并确保干涉光谱具有高消光比。</w:t>
      </w:r>
    </w:p>
    <w:p w14:paraId="7572C74D">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（2）耐高温光纤FP传感器制备与可靠性工艺研究</w:t>
      </w:r>
    </w:p>
    <w:p w14:paraId="3F231226">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开展无胶光纤传感器制备工艺研究，突破敏感元件与光纤的精密微装配及高温永久键合技术，实现亚微米级FP干涉腔体的调谐与机械锁定。研究提升干涉光谱消光比的腔体制备方法，压力灵敏度变化率≤10%及测温精度保持能力，确立长期可靠性的工艺规范。</w:t>
      </w:r>
    </w:p>
    <w:p w14:paraId="5EB6582E">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（3）高温环境下压力-温度复合动态标定与多通道解调系统验证研究</w:t>
      </w:r>
    </w:p>
    <w:p w14:paraId="0BA03D64">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搭建25 ℃-1200 ℃动态压力-温度复合标定系统，对传感器全温全压量程范围内的灵敏度、线性度、频响和测温精度进行同步标定。开发具备温度解调与高速FP腔长解调功能的多通道数据采集系统，实现≥25 kHz采样率下的压力-温度双参量实时输出。通过高温老化实验与长期稳定性测试，建立基于原位温度感知的灵敏度温漂补偿模型，验证系统整体性能。</w:t>
      </w:r>
    </w:p>
    <w:p w14:paraId="3321907A">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（4）基于压力-温度多参量融合的燃烧热声失稳状态识别方法研究</w:t>
      </w:r>
    </w:p>
    <w:p w14:paraId="347029C1">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针对燃烧热声振荡特征，从动态压力与温度信号中同步提取时频域多维特征，构建压力-温度融合特征向量。研究多参量融合的热声失稳状态分级识别算法，建立“稳定-警告-失稳”三级判据，实现失稳状态识别准确率＞90%，并形成可嵌入的软件模块，完成实验数据验证。</w:t>
      </w:r>
    </w:p>
    <w:p w14:paraId="2AF6F9BB">
      <w:pPr>
        <w:spacing w:line="560" w:lineRule="exact"/>
        <w:ind w:firstLine="643" w:firstLineChars="200"/>
        <w:jc w:val="both"/>
        <w:rPr>
          <w:rFonts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 xml:space="preserve">预期成果： </w:t>
      </w:r>
    </w:p>
    <w:p w14:paraId="00587B7D">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（1）研制一套适用于重型燃气轮机燃烧室、可在25-1200℃下长期稳定工作、1700℃下短期工作的光纤FP压力-温度复合热声探测传感器样机；</w:t>
      </w:r>
    </w:p>
    <w:p w14:paraId="78EDE7D9">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（2）开发一套支持温度解调、高速FP腔长解调的多通道光纤传感数据采集与双参量实时输出系统；</w:t>
      </w:r>
    </w:p>
    <w:p w14:paraId="7C050FDD">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（3）形成一种基于压力-温度多参量融合的燃烧热声失稳识别算法及软件模块。</w:t>
      </w:r>
    </w:p>
    <w:p w14:paraId="41EBBA16">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（4）申报国家发明专利不少于1项。</w:t>
      </w:r>
    </w:p>
    <w:p w14:paraId="4EB48C6B">
      <w:pPr>
        <w:spacing w:line="560" w:lineRule="exact"/>
        <w:ind w:firstLine="643" w:firstLineChars="200"/>
        <w:jc w:val="both"/>
        <w:rPr>
          <w:rFonts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 xml:space="preserve">考核指标： </w:t>
      </w:r>
    </w:p>
    <w:p w14:paraId="4D60BDD6">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（1）传感器指标：工作温度范围25℃-1200℃（瞬时耐受温度≥1700℃），压力测量范围0-0.5MPa/0.5-3Mpa，频响范围0.5Hz-10kHz，线性度≤2% F.S.，测温精度≤5‰，压力灵敏度变化率≤10%，灵敏度≥50nm/Mpa；</w:t>
      </w:r>
    </w:p>
    <w:p w14:paraId="661E7B20">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（2）解调与系统指标：涵盖温度、压力传感模块，系统采样率≥25 kHz，分辨率≤0.1nm，测量范围≥±1</w:t>
      </w:r>
      <w:r>
        <w:rPr>
          <w:rFonts w:hint="eastAsia" w:ascii="仿宋_GB2312" w:hAnsi="仿宋_GB2312" w:eastAsia="仿宋_GB2312" w:cs="仿宋_GB2312"/>
          <w:sz w:val="32"/>
          <w:szCs w:val="32"/>
        </w:rPr>
        <w:t>μ</w:t>
      </w:r>
      <w:r>
        <w:rPr>
          <w:rFonts w:hint="eastAsia" w:ascii="仿宋_GB2312" w:hAnsi="仿宋_GB2312" w:eastAsia="仿宋_GB2312" w:cs="仿宋_GB2312"/>
          <w:sz w:val="32"/>
          <w:szCs w:val="32"/>
          <w:lang w:eastAsia="zh-CN"/>
        </w:rPr>
        <w:t>m；</w:t>
      </w:r>
    </w:p>
    <w:p w14:paraId="5698B72A">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（3）状态识别指标：基于多参量融合的燃烧热声失稳状态（警告/失稳）识别准确率＞90%。</w:t>
      </w:r>
    </w:p>
    <w:p w14:paraId="72576B1E">
      <w:pPr>
        <w:spacing w:line="560" w:lineRule="exact"/>
        <w:ind w:firstLine="643"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研究周期：</w:t>
      </w:r>
      <w:r>
        <w:rPr>
          <w:rFonts w:ascii="仿宋_GB2312" w:hAnsi="仿宋_GB2312" w:eastAsia="仿宋_GB2312" w:cs="仿宋_GB2312"/>
          <w:sz w:val="32"/>
          <w:szCs w:val="32"/>
          <w:lang w:eastAsia="zh-CN"/>
        </w:rPr>
        <w:t>12</w:t>
      </w:r>
      <w:r>
        <w:rPr>
          <w:rFonts w:hint="eastAsia" w:ascii="仿宋_GB2312" w:hAnsi="仿宋_GB2312" w:eastAsia="仿宋_GB2312" w:cs="仿宋_GB2312"/>
          <w:sz w:val="32"/>
          <w:szCs w:val="32"/>
          <w:lang w:eastAsia="zh-CN"/>
        </w:rPr>
        <w:t xml:space="preserve">个月 </w:t>
      </w:r>
    </w:p>
    <w:p w14:paraId="12051A24">
      <w:pPr>
        <w:spacing w:line="560" w:lineRule="exact"/>
        <w:ind w:firstLine="643"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研究经费：</w:t>
      </w:r>
      <w:r>
        <w:rPr>
          <w:rFonts w:hint="eastAsia" w:ascii="仿宋_GB2312" w:hAnsi="仿宋_GB2312" w:eastAsia="仿宋_GB2312" w:cs="仿宋_GB2312"/>
          <w:sz w:val="32"/>
          <w:szCs w:val="32"/>
          <w:lang w:eastAsia="zh-CN"/>
        </w:rPr>
        <w:t>不超过200万元</w:t>
      </w:r>
    </w:p>
    <w:p w14:paraId="0465F3D3">
      <w:pPr>
        <w:ind w:firstLine="643" w:firstLineChars="200"/>
        <w:rPr>
          <w:rFonts w:ascii="黑体" w:hAnsi="黑体" w:eastAsia="黑体"/>
          <w:b/>
          <w:bCs/>
          <w:sz w:val="32"/>
          <w:szCs w:val="32"/>
          <w:lang w:eastAsia="zh-CN"/>
        </w:rPr>
      </w:pPr>
    </w:p>
    <w:p w14:paraId="2D77534E">
      <w:pPr>
        <w:spacing w:line="560" w:lineRule="exact"/>
        <w:ind w:firstLine="643" w:firstLineChars="200"/>
        <w:rPr>
          <w:rFonts w:ascii="黑体" w:hAnsi="黑体" w:eastAsia="黑体"/>
          <w:b/>
          <w:bCs/>
          <w:sz w:val="32"/>
          <w:szCs w:val="32"/>
          <w:lang w:eastAsia="zh-CN"/>
        </w:rPr>
      </w:pPr>
      <w:r>
        <w:rPr>
          <w:rFonts w:hint="eastAsia" w:ascii="黑体" w:hAnsi="黑体" w:eastAsia="黑体"/>
          <w:b/>
          <w:bCs/>
          <w:sz w:val="32"/>
          <w:szCs w:val="32"/>
          <w:lang w:eastAsia="zh-CN"/>
        </w:rPr>
        <w:t>5.燃气轮机多燃料掺混智能化控制技术研究</w:t>
      </w:r>
    </w:p>
    <w:p w14:paraId="7429B25A">
      <w:pPr>
        <w:spacing w:line="560" w:lineRule="exact"/>
        <w:ind w:firstLine="643" w:firstLineChars="200"/>
        <w:jc w:val="both"/>
        <w:rPr>
          <w:rFonts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项目编号：ZRUIC202</w:t>
      </w:r>
      <w:r>
        <w:rPr>
          <w:rFonts w:hint="eastAsia" w:ascii="仿宋_GB2312" w:hAnsi="仿宋_GB2312" w:eastAsia="仿宋_GB2312" w:cs="仿宋_GB2312"/>
          <w:b/>
          <w:bCs/>
          <w:sz w:val="32"/>
          <w:szCs w:val="32"/>
          <w:lang w:val="en-US" w:eastAsia="zh-CN"/>
        </w:rPr>
        <w:t>7</w:t>
      </w:r>
      <w:r>
        <w:rPr>
          <w:rFonts w:hint="eastAsia" w:ascii="仿宋_GB2312" w:hAnsi="仿宋_GB2312" w:eastAsia="仿宋_GB2312" w:cs="仿宋_GB2312"/>
          <w:b/>
          <w:bCs/>
          <w:sz w:val="32"/>
          <w:szCs w:val="32"/>
          <w:lang w:eastAsia="zh-CN"/>
        </w:rPr>
        <w:t>05</w:t>
      </w:r>
    </w:p>
    <w:p w14:paraId="71D046B5">
      <w:pPr>
        <w:spacing w:line="560" w:lineRule="exact"/>
        <w:ind w:firstLine="643"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项目背景：</w:t>
      </w:r>
      <w:r>
        <w:rPr>
          <w:rFonts w:hint="eastAsia" w:ascii="仿宋_GB2312" w:hAnsi="仿宋_GB2312" w:eastAsia="仿宋_GB2312" w:cs="仿宋_GB2312"/>
          <w:sz w:val="32"/>
          <w:szCs w:val="32"/>
          <w:lang w:eastAsia="zh-CN"/>
        </w:rPr>
        <w:t>国家“十五五”规划明确提出构建清洁低碳、安全高效的现代能源体系，将氢能、绿色氨列为重点未来产业，燃气轮机作为新型电力系统核心装备，迎来多元化、低碳化转型机遇。当前我国天然气对外依存度超40%，单一燃料发电面临能源安全与碳减排双重压力，发展天然气、氢气、氨气多燃料掺混发电已成为能源领域研究的重要技术方向。当前燃气轮机多燃料掺混运行普遍依赖人工经验与固定配比控制方式，缺乏高精度、同步化的燃料组分在线检测手段，存在燃料组分监测滞后、掺混比例控制精度低、工况适配性差、控制策略不可溯源等突出问题。传统燃气轮机燃料调控模式多采用离线标定、固定参数控制方法，无法实时捕捉天然气、氢气、氨气混合燃料的组分动态变化，难以实现精准掺混控制，同时控制过程逻辑不透明、优化策略无法回溯，极大限制了多燃料掺混技术的工程落地应用。依托数智化技术搭建多燃料精准检测试验平台，融合在线感知、仿真推演与智能阀门调节闭环控制技术，构建高适配、可解释、稳精度的多燃料掺混控制体系，能够有效解决传统调控方式工况适配性差、控制逻辑不透明、执行调节滞后等技术短板，实现多燃料掺混过程自动化、数智化精准管控。因此，本项目开展燃气轮机多燃料掺混智能化控制技术研究，可有效支撑氢氨低碳燃料在燃气轮机机组的安全稳定应用，助力燃气轮机装备低碳化、数智化升级，对完善新型电力系统多能源耦合调控技术体系、服务国家“双碳”战略实施具有重要的理论研究价值与工程实践意义。</w:t>
      </w:r>
    </w:p>
    <w:p w14:paraId="0474441F">
      <w:pPr>
        <w:spacing w:line="560" w:lineRule="exact"/>
        <w:ind w:firstLine="643"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项目目标：</w:t>
      </w:r>
      <w:r>
        <w:rPr>
          <w:rFonts w:hint="eastAsia" w:ascii="仿宋_GB2312" w:hAnsi="仿宋_GB2312" w:eastAsia="仿宋_GB2312" w:cs="仿宋_GB2312"/>
          <w:sz w:val="32"/>
          <w:szCs w:val="32"/>
          <w:lang w:eastAsia="zh-CN"/>
        </w:rPr>
        <w:t>针对当前燃气轮机多燃料掺混工况组分检测同步性差、测量精度不足、掺混比例控制精度低等工程痛点，依托数智化技术，搭建多燃料在线检测与掺混控制试验平台，开发多组分燃料精准感知模型与智能掺混控制算法，构建具备可解释、可回溯、高精度的多燃料在线掺混控制体系。实现天然气、氢气、氨气等多组分同步在线精准检测，达成高精度多燃料掺混比例闭环控制，形成逻辑完整、可策略回溯的智能化控制能力，为燃气轮机多燃料安全、精准、稳定掺混运行提供技术支撑，服务能源装备数智化与低碳化转型需求。</w:t>
      </w:r>
    </w:p>
    <w:p w14:paraId="3D3D94A9">
      <w:pPr>
        <w:spacing w:line="560" w:lineRule="exact"/>
        <w:ind w:firstLine="643" w:firstLineChars="200"/>
        <w:jc w:val="both"/>
        <w:rPr>
          <w:rFonts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研究内容：</w:t>
      </w:r>
    </w:p>
    <w:p w14:paraId="360E4031">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（1）多燃料组分高精度在线检测试验平台搭建</w:t>
      </w:r>
    </w:p>
    <w:p w14:paraId="7241B5CC">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针对天然气、氢气、氨气多燃料耦合掺混场景，搭建专用多燃料掺混试验平台，配套集成多组分同步在线检测装置。开展传感器布局优化、信号采集与阀门适配研究，完成检测系统调试与标定，实现多种燃料组分同步采集与燃料调节阀门适配研究，完成检测系统与阀门执行机构联调、标定与性能校验，实现多种燃料组分同步采集、稳定检测与执行端精准匹配，解决多燃料组分检测不同步、精度低、检测滞后、检测与调节匹配度差等问题，为后续掺混精准闭环控制提供可靠实测数据与硬件执行支撑。</w:t>
      </w:r>
    </w:p>
    <w:p w14:paraId="2BBC023D">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（2）多燃料掺混仿真模型与高精度控制算法开发</w:t>
      </w:r>
    </w:p>
    <w:p w14:paraId="0D4B1230">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结合多燃料掺混运行机理与特性，搭建多燃料掺混平台仿真模型，还原不同组分、不同配比、不同阀门开度工况下的燃料运行状态。依托实测组分数据，拓展研发适配变工况、变组分场景的多燃料在线掺混智能控制算法，构建“组分感知-配比运算-阀门动态调节”闭环调控逻辑，优化控制输出策略，精准修正各燃料支路阀门开度与掺混配比偏差，通过阀门动态自适应调节实现多燃料掺混比例稳定精准控制，适配系统工况动态变化。</w:t>
      </w:r>
    </w:p>
    <w:p w14:paraId="1F18A4D3">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（3）可解释化、可回溯控制决策体系构建</w:t>
      </w:r>
    </w:p>
    <w:p w14:paraId="55B81F98">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针对传统黑箱控制策略不可解释、无法溯源的问题，梳理多燃料掺混控制参数关联关系，构建完整透明的控制逻辑链条。建立控制参数迭代记录、决策过程留存、运行策略回溯机制，实现控制过程可展示、决策逻辑可解释、运行策略可回溯复盘。</w:t>
      </w:r>
    </w:p>
    <w:p w14:paraId="76FCDB79">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（4）平台联调与算法性能试验验证</w:t>
      </w:r>
    </w:p>
    <w:p w14:paraId="23A24D6D">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依托搭建的多燃料试验平台，开展多组分、多配比、多工况试验测试，校验组分检测精度与控制算法稳定性，不断优化模型参数与控制逻辑，确保检测精度、控制精度、可解释性全部满足工程运行要求，形成成熟可靠的多燃料在线掺混智能化控制技术方案。</w:t>
      </w:r>
    </w:p>
    <w:p w14:paraId="5824D771">
      <w:pPr>
        <w:spacing w:line="560" w:lineRule="exact"/>
        <w:ind w:firstLine="643" w:firstLineChars="200"/>
        <w:jc w:val="both"/>
        <w:rPr>
          <w:rFonts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 xml:space="preserve">预期成果： </w:t>
      </w:r>
    </w:p>
    <w:p w14:paraId="52E940A7">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（1）搭建燃气轮机多燃料在线掺混试验平台1套，集成多燃料组分检测装置，实现天然气、氢气、氨气等多组分同步在线检测能力；</w:t>
      </w:r>
    </w:p>
    <w:p w14:paraId="3A0197D1">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（2）构建多燃料掺混仿真模型与高精度智能控制算法1套，实现多燃料在线掺混比例精准闭环控制；</w:t>
      </w:r>
    </w:p>
    <w:p w14:paraId="1BC72A5C">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（3）建立全流程可解释多燃料掺混控制决策体系，形成具备完整逻辑链条与策略回溯的智能化控制方法。</w:t>
      </w:r>
    </w:p>
    <w:p w14:paraId="55735919">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（4）研究成果发表SCI论文不少于1篇，EI论文不少于2篇，发明专利不少于1项。</w:t>
      </w:r>
    </w:p>
    <w:p w14:paraId="716B50A7">
      <w:pPr>
        <w:spacing w:line="560" w:lineRule="exact"/>
        <w:ind w:firstLine="643" w:firstLineChars="200"/>
        <w:jc w:val="both"/>
        <w:rPr>
          <w:rFonts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 xml:space="preserve">考核指标： </w:t>
      </w:r>
    </w:p>
    <w:p w14:paraId="35DBFE10">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（1）建成多燃料在线掺混试验平台1套，搭载多燃料组分检测装置，实现天然气、氢气、氨气等多组分同步在线检测，组分测量平均相对误差≤1.0%，检测时间≤1min；</w:t>
      </w:r>
    </w:p>
    <w:p w14:paraId="54113537">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（2）开发完成多燃料掺混仿真模型及智能控制算法1套，实现多组分燃料掺混比例控制精度≤1.0%，工况运行稳定、配比调控精准；</w:t>
      </w:r>
    </w:p>
    <w:p w14:paraId="65883752">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（3）控制算法具备完整、透明的可解释逻辑链条，全程留存决策参数与运行数据，完全支持运行策略复盘与回溯分析。</w:t>
      </w:r>
    </w:p>
    <w:p w14:paraId="5B7E06C9">
      <w:pPr>
        <w:spacing w:line="560" w:lineRule="exact"/>
        <w:ind w:firstLine="643"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研究周期：</w:t>
      </w:r>
      <w:r>
        <w:rPr>
          <w:rFonts w:ascii="仿宋_GB2312" w:hAnsi="仿宋_GB2312" w:eastAsia="仿宋_GB2312" w:cs="仿宋_GB2312"/>
          <w:sz w:val="32"/>
          <w:szCs w:val="32"/>
          <w:lang w:eastAsia="zh-CN"/>
        </w:rPr>
        <w:t>12</w:t>
      </w:r>
      <w:r>
        <w:rPr>
          <w:rFonts w:hint="eastAsia" w:ascii="仿宋_GB2312" w:hAnsi="仿宋_GB2312" w:eastAsia="仿宋_GB2312" w:cs="仿宋_GB2312"/>
          <w:sz w:val="32"/>
          <w:szCs w:val="32"/>
          <w:lang w:eastAsia="zh-CN"/>
        </w:rPr>
        <w:t>个月</w:t>
      </w:r>
    </w:p>
    <w:p w14:paraId="438ADAB2">
      <w:pPr>
        <w:spacing w:line="560" w:lineRule="exact"/>
        <w:ind w:firstLine="643" w:firstLineChars="200"/>
        <w:jc w:val="both"/>
        <w:rPr>
          <w:rFonts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研究经费：</w:t>
      </w:r>
      <w:r>
        <w:rPr>
          <w:rFonts w:hint="eastAsia" w:ascii="仿宋_GB2312" w:hAnsi="仿宋_GB2312" w:eastAsia="仿宋_GB2312" w:cs="仿宋_GB2312"/>
          <w:sz w:val="32"/>
          <w:szCs w:val="32"/>
          <w:lang w:eastAsia="zh-CN"/>
        </w:rPr>
        <w:t>不超过200万元</w:t>
      </w:r>
    </w:p>
    <w:p w14:paraId="4F47D767">
      <w:pPr>
        <w:ind w:firstLine="643" w:firstLineChars="200"/>
        <w:rPr>
          <w:rFonts w:ascii="黑体" w:hAnsi="黑体" w:eastAsia="黑体"/>
          <w:b/>
          <w:bCs/>
          <w:sz w:val="32"/>
          <w:szCs w:val="32"/>
          <w:lang w:eastAsia="zh-CN"/>
        </w:rPr>
      </w:pPr>
    </w:p>
    <w:p w14:paraId="3A551441">
      <w:pPr>
        <w:spacing w:line="560" w:lineRule="exact"/>
        <w:ind w:firstLine="643" w:firstLineChars="200"/>
        <w:rPr>
          <w:rFonts w:ascii="黑体" w:hAnsi="黑体" w:eastAsia="黑体"/>
          <w:b/>
          <w:bCs/>
          <w:sz w:val="32"/>
          <w:szCs w:val="32"/>
          <w:lang w:eastAsia="zh-CN"/>
        </w:rPr>
      </w:pPr>
      <w:r>
        <w:rPr>
          <w:rFonts w:hint="eastAsia" w:ascii="黑体" w:hAnsi="黑体" w:eastAsia="黑体"/>
          <w:b/>
          <w:bCs/>
          <w:sz w:val="32"/>
          <w:szCs w:val="32"/>
          <w:lang w:eastAsia="zh-CN"/>
        </w:rPr>
        <w:t>6.燃气轮机多级透平通流部分智能优化设计平台研发</w:t>
      </w:r>
    </w:p>
    <w:p w14:paraId="36E88B36">
      <w:pPr>
        <w:spacing w:line="560" w:lineRule="exact"/>
        <w:ind w:firstLine="643" w:firstLineChars="200"/>
        <w:jc w:val="both"/>
        <w:rPr>
          <w:rFonts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项目编号：ZRUIC202</w:t>
      </w:r>
      <w:r>
        <w:rPr>
          <w:rFonts w:hint="eastAsia" w:ascii="仿宋_GB2312" w:hAnsi="仿宋_GB2312" w:eastAsia="仿宋_GB2312" w:cs="仿宋_GB2312"/>
          <w:b/>
          <w:bCs/>
          <w:sz w:val="32"/>
          <w:szCs w:val="32"/>
          <w:lang w:val="en-US" w:eastAsia="zh-CN"/>
        </w:rPr>
        <w:t>7</w:t>
      </w:r>
      <w:r>
        <w:rPr>
          <w:rFonts w:hint="eastAsia" w:ascii="仿宋_GB2312" w:hAnsi="仿宋_GB2312" w:eastAsia="仿宋_GB2312" w:cs="仿宋_GB2312"/>
          <w:b/>
          <w:bCs/>
          <w:sz w:val="32"/>
          <w:szCs w:val="32"/>
          <w:lang w:eastAsia="zh-CN"/>
        </w:rPr>
        <w:t>06</w:t>
      </w:r>
    </w:p>
    <w:p w14:paraId="663B7A6F">
      <w:pPr>
        <w:spacing w:line="560" w:lineRule="exact"/>
        <w:ind w:firstLine="643"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项目背景：</w:t>
      </w:r>
      <w:r>
        <w:rPr>
          <w:rFonts w:hint="eastAsia" w:ascii="仿宋_GB2312" w:hAnsi="仿宋_GB2312" w:eastAsia="仿宋_GB2312" w:cs="仿宋_GB2312"/>
          <w:sz w:val="32"/>
          <w:szCs w:val="32"/>
          <w:lang w:eastAsia="zh-CN"/>
        </w:rPr>
        <w:t>透平作为燃气轮机的核心部件，其通流设计水平直接决定了整机的效率与承载能力。对于多参数复杂系统的设计问题，设计自由度的提升和约束条件的减少有助于获取更优的全局性能。燃气轮机透平通流部分包含的设计参数众多，涵盖叶型几何及其沿径向的变化规律、弯扭掠积叠规律、子午流道型线及级间匹配等多个维度。若将这些因素进行全参数化表达，一台多级透平通常需要数百乃至上千个设计变量才能精确描述。唯有实现如此庞大变量组的全局最优匹配，方能进一步提升多级透平的气动性能。当前主流的气动设计仍普遍沿用一维参数设计、二维叶型设计、三维通流设计的正向迭代设计方法。该方法高度依赖设计师经验，设计周期中大量时间耗费在几何参数的试错与修正上，存在固有的局限性。通流几何参数间存在极强的非线性耦合，局部参数的优化虽能改善特定区域流动，却往往引发其他部位乃至整体性能的恶化。在这种经验设计模式下，大量关键参数被固化，缺乏系统性与全局性寻优，容易陷入局部极值。这不仅导致设计周期冗长、对工程师经验依赖度极高，更成为制约透平气动性能进一步提升的瓶颈。</w:t>
      </w:r>
    </w:p>
    <w:p w14:paraId="094ED7A0">
      <w:pPr>
        <w:spacing w:line="560" w:lineRule="exact"/>
        <w:ind w:firstLine="643"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项目目标：</w:t>
      </w:r>
      <w:r>
        <w:rPr>
          <w:rFonts w:hint="eastAsia" w:ascii="仿宋_GB2312" w:hAnsi="仿宋_GB2312" w:eastAsia="仿宋_GB2312" w:cs="仿宋_GB2312"/>
          <w:sz w:val="32"/>
          <w:szCs w:val="32"/>
          <w:lang w:eastAsia="zh-CN"/>
        </w:rPr>
        <w:t>本项目聚焦高性能燃气轮机多级透平的快速设计需求，针对现有气动设计周期长、过度依赖工程师经验、设计效率长期难以实现跨越式提升的突出问题，在严格满足强度、安全性及加工工艺等刚性约束的前提下，项目旨在最大限度扩大设计空间的自由度。通过深度融合人工智能技术与通流部分智能优化设计方法，构建高维参数空间的智能寻优体系，以期获得多级透平性能的全局最优解。预期将单台多级透平的设计周期压缩至8小时以内。</w:t>
      </w:r>
    </w:p>
    <w:p w14:paraId="057B1B15">
      <w:pPr>
        <w:spacing w:line="560" w:lineRule="exact"/>
        <w:ind w:firstLine="643" w:firstLineChars="200"/>
        <w:jc w:val="both"/>
        <w:rPr>
          <w:rFonts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研究内容：</w:t>
      </w:r>
    </w:p>
    <w:p w14:paraId="2A25A9FE">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（1）考虑径向气动与几何参数分布的燃气轮机透平叶片叶型智能优化设计方法</w:t>
      </w:r>
    </w:p>
    <w:p w14:paraId="4D77AAF3">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现有研究证实单纯径向积叠二维最优叶型无法实现三维叶片最优气动性能，径向分布气动参数与叶型弯扭掠等几何参数相互耦合共同影响叶栅流动，为此需系统剖析多参数径向协同作用下边界层演化、激波边界层干扰、各类损失生成规律以及最优气动性能和叶型几何的内在联系，围绕径向变参数约束下的叶型逆向设计、边界层与跨音速激波干扰损失机理及高精度预测模型构建、依托物理机理与可解释分析驱动的叶型智能优化开展完整研究。</w:t>
      </w:r>
    </w:p>
    <w:p w14:paraId="28FACED5">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（2）燃气轮机多级透平通流部分气动反设计与优化设计</w:t>
      </w:r>
    </w:p>
    <w:p w14:paraId="0FAEB1AF">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围绕以最优气动性能为目标的透平通流一体化设计开展研究，厘清叶片三维构型、子午流道与各类流动损失的定量关联，建立损失预测模型与流动调控准则；开展叶片及子午流道协同气动反设计，搭建物理数据双驱动的多级透平多目标全局优化体系，完成两套性能优于现有300MW机组、几何构型差异化的新型通流方案设计，完成叶片强度、工艺校核与吹风试验验证。</w:t>
      </w:r>
    </w:p>
    <w:p w14:paraId="0B59C5CF">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（3）气动-强度耦合的多级透平智能设计平台研发</w:t>
      </w:r>
    </w:p>
    <w:p w14:paraId="13196A39">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针对传统分步迭代设计存在效率偏低、反复修正的缺陷，依托气动反设计、损失机理与智能寻优相关成果，开展气动-强度耦合协同设计研究，厘清叶片气动性能与结构力学特性的约束关联，建立双约束协同优化逻辑与一体化智能设计理论体系，搭建适配多级透平的耦合分析架构、耦合数据库与多约束代理模型，构建气动与结构双向协调的全自动迭代闭环，并开发一体化智能可视化设计平台。</w:t>
      </w:r>
    </w:p>
    <w:p w14:paraId="144DF45A">
      <w:pPr>
        <w:spacing w:line="560" w:lineRule="exact"/>
        <w:ind w:firstLine="643" w:firstLineChars="200"/>
        <w:jc w:val="both"/>
        <w:rPr>
          <w:rFonts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预期成果：</w:t>
      </w:r>
    </w:p>
    <w:p w14:paraId="4C5DA38B">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（1）建立考虑径向气动与几何参数分布的透平叶型气动反设计方法1套，构建结合变分有限元与深度学习的高精度气动反设计模型；</w:t>
      </w:r>
    </w:p>
    <w:p w14:paraId="4CDE5ACF">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建立考虑气动与几何参数径向分布的叶型边界层损失预测模型及跨音速激波-边界层干涉损失模型各1套；完成不少于7组典型透平叶型的试验标定与性能验证，进一步完善多参数耦合条件下的气动损失理论体系；</w:t>
      </w:r>
    </w:p>
    <w:p w14:paraId="0F3F277E">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（3）构建结合物理约束与SHAP可解释性分析的智能优化设计系统1套，实现基于物理机制驱动的全局参数精准寻优；</w:t>
      </w:r>
    </w:p>
    <w:p w14:paraId="369B6EC9">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（4）建立多级透平全三维通流耦合气动反设计技术体系1套，实现叶片三维弯扭掠构型与子午流道型线的协同反设计，完善高维几何参数的映射机制；</w:t>
      </w:r>
    </w:p>
    <w:p w14:paraId="40CEEB15">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（5）开发集成叶型反设计、流场计算、损失评估、全局寻优及强度校核等模块的气动-强度耦合多级透平智能设计平台，实现高维设计空间的全局寻优；</w:t>
      </w:r>
    </w:p>
    <w:p w14:paraId="6D6AC53C">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（6）获取不少于2套气动性能优、结构安全裕度满足要求且具备工程加工可行性的具有新结构特征的透平叶片及配套子午流道型线方案，并完成相关的试验验证；</w:t>
      </w:r>
    </w:p>
    <w:p w14:paraId="4E518172">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（7）构建高保真样本数据库（包含不少于50000组叶型样本数据及20,000余组通流构型数据），编制试验验证数据集、模型误差分析报告及项目成套技术总结文档。</w:t>
      </w:r>
    </w:p>
    <w:p w14:paraId="4EC9401A">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（8）申报国家发明专利不少于1项。</w:t>
      </w:r>
    </w:p>
    <w:p w14:paraId="57DB2E06">
      <w:pPr>
        <w:spacing w:line="560" w:lineRule="exact"/>
        <w:ind w:firstLine="643" w:firstLineChars="200"/>
        <w:jc w:val="both"/>
        <w:rPr>
          <w:rFonts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考核指标：</w:t>
      </w:r>
    </w:p>
    <w:p w14:paraId="3E5DAA1E">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（1）设计时效指标：智能设计平台模型训练完成后，单套多级透平通流结构的全流程设计周期≤8小时；</w:t>
      </w:r>
    </w:p>
    <w:p w14:paraId="15EDA4EB">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（2）模型精度指标：叶型气动反设计构型与目标压力分布的拟合偏差≤1.0%；透平整机性能预测结果与高精度CFD数值计算结果的相对偏差≤1.0%；</w:t>
      </w:r>
    </w:p>
    <w:p w14:paraId="7FF4EF10">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（3）损失模型指标：叶型边界层损失模型预测误差≤3.0%，跨音速激波-边界层干涉损失模型预测误差≤5.0%；</w:t>
      </w:r>
    </w:p>
    <w:p w14:paraId="25D63402">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（4）工程规范指标：优化生成的透平叶片及通流结构方案均须通过静力学强度校核、振动特性分析及加工工艺性评估，其结构安全裕度与加工适配性满足相关工程应用规范。</w:t>
      </w:r>
    </w:p>
    <w:p w14:paraId="0D447108">
      <w:pPr>
        <w:spacing w:line="560" w:lineRule="exact"/>
        <w:ind w:firstLine="643"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研究周期：</w:t>
      </w:r>
      <w:r>
        <w:rPr>
          <w:rFonts w:ascii="仿宋_GB2312" w:hAnsi="仿宋_GB2312" w:eastAsia="仿宋_GB2312" w:cs="仿宋_GB2312"/>
          <w:sz w:val="32"/>
          <w:szCs w:val="32"/>
          <w:lang w:eastAsia="zh-CN"/>
        </w:rPr>
        <w:t>12</w:t>
      </w:r>
      <w:r>
        <w:rPr>
          <w:rFonts w:hint="eastAsia" w:ascii="仿宋_GB2312" w:hAnsi="仿宋_GB2312" w:eastAsia="仿宋_GB2312" w:cs="仿宋_GB2312"/>
          <w:sz w:val="32"/>
          <w:szCs w:val="32"/>
          <w:lang w:eastAsia="zh-CN"/>
        </w:rPr>
        <w:t>个月</w:t>
      </w:r>
    </w:p>
    <w:p w14:paraId="2C9E2F5D">
      <w:pPr>
        <w:spacing w:line="560" w:lineRule="exact"/>
        <w:ind w:firstLine="643" w:firstLineChars="200"/>
        <w:jc w:val="both"/>
        <w:rPr>
          <w:rFonts w:ascii="黑体" w:hAnsi="黑体" w:eastAsia="黑体"/>
          <w:b/>
          <w:bCs/>
          <w:sz w:val="32"/>
          <w:szCs w:val="32"/>
          <w:lang w:eastAsia="zh-CN"/>
        </w:rPr>
      </w:pPr>
      <w:r>
        <w:rPr>
          <w:rFonts w:hint="eastAsia" w:ascii="仿宋_GB2312" w:hAnsi="仿宋_GB2312" w:eastAsia="仿宋_GB2312" w:cs="仿宋_GB2312"/>
          <w:b/>
          <w:bCs/>
          <w:sz w:val="32"/>
          <w:szCs w:val="32"/>
          <w:lang w:eastAsia="zh-CN"/>
        </w:rPr>
        <w:t>研究经费：</w:t>
      </w:r>
      <w:r>
        <w:rPr>
          <w:rFonts w:hint="eastAsia" w:ascii="仿宋_GB2312" w:hAnsi="仿宋_GB2312" w:eastAsia="仿宋_GB2312" w:cs="仿宋_GB2312"/>
          <w:sz w:val="32"/>
          <w:szCs w:val="32"/>
          <w:lang w:eastAsia="zh-CN"/>
        </w:rPr>
        <w:t>不超过200万元</w:t>
      </w:r>
    </w:p>
    <w:p w14:paraId="7E9742AA">
      <w:pPr>
        <w:ind w:firstLine="643" w:firstLineChars="200"/>
        <w:rPr>
          <w:rFonts w:ascii="黑体" w:hAnsi="黑体" w:eastAsia="黑体"/>
          <w:b/>
          <w:bCs/>
          <w:sz w:val="32"/>
          <w:szCs w:val="32"/>
          <w:lang w:eastAsia="zh-CN"/>
        </w:rPr>
      </w:pPr>
    </w:p>
    <w:p w14:paraId="3AE18A8D">
      <w:pPr>
        <w:spacing w:line="560" w:lineRule="exact"/>
        <w:ind w:firstLine="643" w:firstLineChars="200"/>
        <w:rPr>
          <w:rFonts w:ascii="黑体" w:hAnsi="黑体" w:eastAsia="黑体"/>
          <w:b/>
          <w:bCs/>
          <w:sz w:val="32"/>
          <w:szCs w:val="32"/>
          <w:lang w:eastAsia="zh-CN"/>
        </w:rPr>
      </w:pPr>
      <w:r>
        <w:rPr>
          <w:rFonts w:hint="eastAsia" w:ascii="黑体" w:hAnsi="黑体" w:eastAsia="黑体"/>
          <w:b/>
          <w:bCs/>
          <w:sz w:val="32"/>
          <w:szCs w:val="32"/>
          <w:lang w:eastAsia="zh-CN"/>
        </w:rPr>
        <w:t>7.新型耐高温长寿命高熵合金粘结层材料的设计及高温抗氧化机理研究</w:t>
      </w:r>
    </w:p>
    <w:p w14:paraId="04044F97">
      <w:pPr>
        <w:spacing w:line="560" w:lineRule="exact"/>
        <w:ind w:firstLine="643" w:firstLineChars="200"/>
        <w:jc w:val="both"/>
        <w:rPr>
          <w:rFonts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项目编号：ZRUIC202</w:t>
      </w:r>
      <w:r>
        <w:rPr>
          <w:rFonts w:hint="eastAsia" w:ascii="仿宋_GB2312" w:hAnsi="仿宋_GB2312" w:eastAsia="仿宋_GB2312" w:cs="仿宋_GB2312"/>
          <w:b/>
          <w:bCs/>
          <w:sz w:val="32"/>
          <w:szCs w:val="32"/>
          <w:lang w:val="en-US" w:eastAsia="zh-CN"/>
        </w:rPr>
        <w:t>7</w:t>
      </w:r>
      <w:r>
        <w:rPr>
          <w:rFonts w:hint="eastAsia" w:ascii="仿宋_GB2312" w:hAnsi="仿宋_GB2312" w:eastAsia="仿宋_GB2312" w:cs="仿宋_GB2312"/>
          <w:b/>
          <w:bCs/>
          <w:sz w:val="32"/>
          <w:szCs w:val="32"/>
          <w:lang w:eastAsia="zh-CN"/>
        </w:rPr>
        <w:t>07</w:t>
      </w:r>
    </w:p>
    <w:p w14:paraId="7C399836">
      <w:pPr>
        <w:spacing w:line="560" w:lineRule="exact"/>
        <w:ind w:firstLine="643"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项目背景：</w:t>
      </w:r>
      <w:r>
        <w:rPr>
          <w:rFonts w:hint="eastAsia" w:ascii="仿宋_GB2312" w:hAnsi="仿宋_GB2312" w:eastAsia="仿宋_GB2312" w:cs="仿宋_GB2312"/>
          <w:sz w:val="32"/>
          <w:szCs w:val="32"/>
          <w:lang w:eastAsia="zh-CN"/>
        </w:rPr>
        <w:t>新一代高参数重型燃气轮机对热端部件的承温能力提高有迫切需求，然而服役温度提高会使传统高温合金粘结层材料因热生长氧化层过快增厚而加速剥落，进而产生局部超温现象，严重影响关键热端部件的寿命和可靠性。当前传统的MCrAlY粘结层材料无法满足超高温环境下（≥1200℃）的长寿命安全服役，亟待研发新型低热导耐高温长寿命粘结层材料以进一步提高运行服役温度及可靠性。</w:t>
      </w:r>
    </w:p>
    <w:p w14:paraId="0EF0A9DB">
      <w:pPr>
        <w:spacing w:line="560" w:lineRule="exact"/>
        <w:ind w:firstLine="643"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项目目标：</w:t>
      </w:r>
      <w:r>
        <w:rPr>
          <w:rFonts w:hint="eastAsia" w:ascii="仿宋_GB2312" w:hAnsi="仿宋_GB2312" w:eastAsia="仿宋_GB2312" w:cs="仿宋_GB2312"/>
          <w:sz w:val="32"/>
          <w:szCs w:val="32"/>
          <w:lang w:eastAsia="zh-CN"/>
        </w:rPr>
        <w:t>针对燃气轮机热障涂层超温易剥落、高温长时服役寿命不足等问题，开展新型耐高温长寿命高熵合金粘结层材料的设计及高温抗氧化机理研究，基于多尺度集成计算设计和高通量实验等方法，构建“多尺度计算—高通量实验—抗氧化性能快速评价”的全流程快速设计验证体系，厘清Cr、Fe和Y、Hf等元素对高熵合金高温抗氧化性能的具体影响规律，建立超高温粘结层材料的设计准则，实现新型低热导耐高温长寿命高熵合金粘结层材料的开发。</w:t>
      </w:r>
    </w:p>
    <w:p w14:paraId="7883BDF1">
      <w:pPr>
        <w:spacing w:line="560" w:lineRule="exact"/>
        <w:ind w:firstLine="643" w:firstLineChars="200"/>
        <w:jc w:val="both"/>
        <w:rPr>
          <w:rFonts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研究内容：</w:t>
      </w:r>
    </w:p>
    <w:p w14:paraId="58F6D668">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（1）新型高熵合金粘结层材料的成分设计及抗氧化性能机理研究</w:t>
      </w:r>
    </w:p>
    <w:p w14:paraId="24B03DDE">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针对重型燃气轮机热障涂层粘结层高温服役时抗氧化性能不足的问题，利用高熵合金迟滞扩散和高温相稳定性的特点，结合多尺度理论计算方法厘清各组元及Y和Hf等稀土元素对高熵合金抗氧化性能的影响规律；结合高通量实验方法研究新型高熵合金粘结层材料的相形成特点及高温氧化过程的组织演化规律；整合计算与实验大数据，建立“成分-制备工艺-微观组织-抗氧化/隔热性能”的关联准则，形成新型高熵合金粘结层材料的多目标协同优化设计方法。</w:t>
      </w:r>
    </w:p>
    <w:p w14:paraId="23DDD311">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（2）高熵合金粘结层粉体制备及涂层制备工艺研究</w:t>
      </w:r>
    </w:p>
    <w:p w14:paraId="41F68C73">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利用气雾化制粉方法制备粒径均匀的高熵合金粉体，通过大气等离子体喷涂或超音速火焰喷涂方法，在UGTC48合金基体上喷涂厚度均匀的新型高熵合金粘结层材料，形成制粉及喷涂工艺报告。</w:t>
      </w:r>
    </w:p>
    <w:p w14:paraId="72846A5C">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（3）新型涂层材料1200℃等温及循环氧化性能快速评价及失效分析</w:t>
      </w:r>
    </w:p>
    <w:p w14:paraId="6D847F5B">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对制备的带涂层合金试片进行1200℃等温及循环氧化性能高通量实验评价，研发具有自主知识产权的新型粘结层材料（1000 h完全抗氧化级）；通过SEM/TEM/FIB/APT等先进表征技术深入研究热生长氧化层及近表层组织的演化规律，厘清其高温抗氧化机理及失效机制，形成新型高熵合金粘结层材料的抗氧化性能多尺度计算-高通量实验-性能快速评价报告。</w:t>
      </w:r>
    </w:p>
    <w:p w14:paraId="4AAC2DAE">
      <w:pPr>
        <w:spacing w:line="560" w:lineRule="exact"/>
        <w:ind w:firstLine="643" w:firstLineChars="200"/>
        <w:jc w:val="both"/>
        <w:rPr>
          <w:rFonts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预期成果：</w:t>
      </w:r>
    </w:p>
    <w:p w14:paraId="2C4B273C">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（1）耐高温长寿命高熵合金粘结层材料的多尺度计算设计方法；</w:t>
      </w:r>
    </w:p>
    <w:p w14:paraId="289DC3F2">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（2）高熵合金粘结层材料开发的高通量实验和抗氧化性能评价方法；</w:t>
      </w:r>
    </w:p>
    <w:p w14:paraId="53B24B8D">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（3）主要组元和稀土元素对高熵合金粘结层材料抗氧化性能影响的数据集；</w:t>
      </w:r>
    </w:p>
    <w:p w14:paraId="71645437">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（4）新型高熵合金粘结层材料的制粉及喷涂工艺报告；</w:t>
      </w:r>
    </w:p>
    <w:p w14:paraId="2724BD50">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（5）面向高参数燃气轮机用专用粘结层材料开发的“多尺度计算—高通量实验—抗氧化性能快速评价”的全流程快速设计验证体系。</w:t>
      </w:r>
    </w:p>
    <w:p w14:paraId="43747698">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（6）发表高水平SCI论文（JRC-Q2）不少于3篇，申请国家发明专利4-6项。</w:t>
      </w:r>
    </w:p>
    <w:p w14:paraId="78F10B30">
      <w:pPr>
        <w:spacing w:line="560" w:lineRule="exact"/>
        <w:ind w:firstLine="643" w:firstLineChars="200"/>
        <w:jc w:val="both"/>
        <w:rPr>
          <w:rFonts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考核指标：</w:t>
      </w:r>
    </w:p>
    <w:p w14:paraId="6D983D6A">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（1）新型低热导耐高温长寿命高熵合金粘结层材料2-3种，其中1200℃-1000 h的等温氧化及循环氧化性能均达到完全抗氧化级；（测试标准详见HB5258-2000）；</w:t>
      </w:r>
    </w:p>
    <w:p w14:paraId="2CE771DA">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（2）高通量实验：一次制备不同成分样品个数超过20个；</w:t>
      </w:r>
    </w:p>
    <w:p w14:paraId="142CBB26">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（3）快速评价方法：抗氧化性能试验一次评价样品超过30个。</w:t>
      </w:r>
    </w:p>
    <w:p w14:paraId="63408934">
      <w:pPr>
        <w:spacing w:line="560" w:lineRule="exact"/>
        <w:ind w:firstLine="643"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研究周期：</w:t>
      </w:r>
      <w:r>
        <w:rPr>
          <w:rFonts w:ascii="仿宋_GB2312" w:hAnsi="仿宋_GB2312" w:eastAsia="仿宋_GB2312" w:cs="仿宋_GB2312"/>
          <w:sz w:val="32"/>
          <w:szCs w:val="32"/>
          <w:lang w:eastAsia="zh-CN"/>
        </w:rPr>
        <w:t>12</w:t>
      </w:r>
      <w:r>
        <w:rPr>
          <w:rFonts w:hint="eastAsia" w:ascii="仿宋_GB2312" w:hAnsi="仿宋_GB2312" w:eastAsia="仿宋_GB2312" w:cs="仿宋_GB2312"/>
          <w:sz w:val="32"/>
          <w:szCs w:val="32"/>
          <w:lang w:eastAsia="zh-CN"/>
        </w:rPr>
        <w:t>个月</w:t>
      </w:r>
    </w:p>
    <w:p w14:paraId="5DBA81AD">
      <w:pPr>
        <w:spacing w:line="560" w:lineRule="exact"/>
        <w:ind w:firstLine="643" w:firstLineChars="200"/>
        <w:jc w:val="both"/>
        <w:rPr>
          <w:rFonts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研究经费：</w:t>
      </w:r>
      <w:r>
        <w:rPr>
          <w:rFonts w:hint="eastAsia" w:ascii="仿宋_GB2312" w:hAnsi="仿宋_GB2312" w:eastAsia="仿宋_GB2312" w:cs="仿宋_GB2312"/>
          <w:sz w:val="32"/>
          <w:szCs w:val="32"/>
          <w:lang w:eastAsia="zh-CN"/>
        </w:rPr>
        <w:t>不超过200万元</w:t>
      </w:r>
    </w:p>
    <w:p w14:paraId="32F66315">
      <w:pPr>
        <w:ind w:firstLine="643" w:firstLineChars="200"/>
        <w:rPr>
          <w:rFonts w:ascii="黑体" w:hAnsi="黑体" w:eastAsia="黑体"/>
          <w:b/>
          <w:bCs/>
          <w:sz w:val="32"/>
          <w:szCs w:val="32"/>
          <w:lang w:eastAsia="zh-CN"/>
        </w:rPr>
      </w:pPr>
    </w:p>
    <w:p w14:paraId="24632E92">
      <w:pPr>
        <w:spacing w:line="560" w:lineRule="exact"/>
        <w:ind w:firstLine="643" w:firstLineChars="200"/>
        <w:rPr>
          <w:rFonts w:ascii="黑体" w:hAnsi="黑体" w:eastAsia="黑体"/>
          <w:b/>
          <w:bCs/>
          <w:sz w:val="32"/>
          <w:szCs w:val="32"/>
          <w:lang w:eastAsia="zh-CN"/>
        </w:rPr>
      </w:pPr>
      <w:r>
        <w:rPr>
          <w:rFonts w:hint="eastAsia" w:ascii="黑体" w:hAnsi="黑体" w:eastAsia="黑体"/>
          <w:b/>
          <w:bCs/>
          <w:sz w:val="32"/>
          <w:szCs w:val="32"/>
          <w:lang w:eastAsia="zh-CN"/>
        </w:rPr>
        <w:t>8.重型燃气轮机燃料控制阀阀体部件多物理场耦合仿真研究</w:t>
      </w:r>
    </w:p>
    <w:p w14:paraId="477E2DD0">
      <w:pPr>
        <w:spacing w:line="560" w:lineRule="exact"/>
        <w:ind w:firstLine="643" w:firstLineChars="200"/>
        <w:jc w:val="both"/>
        <w:rPr>
          <w:rFonts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项目编号：ZRUIC202</w:t>
      </w:r>
      <w:r>
        <w:rPr>
          <w:rFonts w:hint="eastAsia" w:ascii="仿宋_GB2312" w:hAnsi="仿宋_GB2312" w:eastAsia="仿宋_GB2312" w:cs="仿宋_GB2312"/>
          <w:b/>
          <w:bCs/>
          <w:sz w:val="32"/>
          <w:szCs w:val="32"/>
          <w:lang w:val="en-US" w:eastAsia="zh-CN"/>
        </w:rPr>
        <w:t>7</w:t>
      </w:r>
      <w:r>
        <w:rPr>
          <w:rFonts w:hint="eastAsia" w:ascii="仿宋_GB2312" w:hAnsi="仿宋_GB2312" w:eastAsia="仿宋_GB2312" w:cs="仿宋_GB2312"/>
          <w:b/>
          <w:bCs/>
          <w:sz w:val="32"/>
          <w:szCs w:val="32"/>
          <w:lang w:eastAsia="zh-CN"/>
        </w:rPr>
        <w:t>08</w:t>
      </w:r>
    </w:p>
    <w:p w14:paraId="5E1CD781">
      <w:pPr>
        <w:spacing w:line="560" w:lineRule="exact"/>
        <w:ind w:firstLine="643"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项目背景：</w:t>
      </w:r>
      <w:r>
        <w:rPr>
          <w:rFonts w:hint="eastAsia" w:ascii="仿宋_GB2312" w:hAnsi="仿宋_GB2312" w:eastAsia="仿宋_GB2312" w:cs="仿宋_GB2312"/>
          <w:sz w:val="32"/>
          <w:szCs w:val="32"/>
          <w:lang w:eastAsia="zh-CN"/>
        </w:rPr>
        <w:t>燃料控制阀是燃气轮机燃料供给系统中实现流量连续调节、负荷跟踪和燃烧稳定控制的关键执行部件，其性能直接影响机组启动、升负荷、稳态运行及停机过程中的燃料供给精度与安全裕度。在高压可压缩气体介质、宽开度调节、高温环境和快速动态响应条件下，阀内流动会呈现高速射流、流动分离、局部阻塞流、压力脉动及流致振动等复杂现象，并与阀芯阀座结构变形、密封接触状态、执行机构动态响应和热态材料性能相互耦合。传统基于经验修正和单一物理场分析的设计方法难以准确揭示流量调节误差、阀芯受力不平衡、密封副磨损、局部应力集中和动作卡涩等问题的形成机理，制约燃料控制阀向高精度、高响应、高可靠和国产化方向发展。</w:t>
      </w:r>
    </w:p>
    <w:p w14:paraId="269F4058">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因此，亟需面向燃气轮机典型运行工况，开展燃料控制阀流场、结构场、温度场、密封接触和执行机构动力学的多物理场耦合仿真研究，建立从结构参数到流量特性、从流体载荷到结构响应、从热态循环到密封寿命的定量映射关系，形成可用于阀芯型面设计、流道优化、强度校核、密封结构优化和执行机构匹配的仿真驱动设计方法，为燃料控制阀工程样机研制与性能验证提供支撑。</w:t>
      </w:r>
    </w:p>
    <w:p w14:paraId="372E459E">
      <w:pPr>
        <w:spacing w:line="560" w:lineRule="exact"/>
        <w:ind w:firstLine="643"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项目目标：</w:t>
      </w:r>
      <w:r>
        <w:rPr>
          <w:rFonts w:hint="eastAsia" w:ascii="仿宋_GB2312" w:hAnsi="仿宋_GB2312" w:eastAsia="仿宋_GB2312" w:cs="仿宋_GB2312"/>
          <w:sz w:val="32"/>
          <w:szCs w:val="32"/>
          <w:lang w:eastAsia="zh-CN"/>
        </w:rPr>
        <w:t>针对燃料控制阀在高压、高温、宽工况和快速调节条件下面临的流量调节非线性强、动态响应滞后、流致振动明显、局部应力集中、密封可靠性不足和执行机构匹配困难等设计问题，建立燃料控制阀多物理场耦合仿真与设计优化方法。通过构建可压缩流动-结构响应-热态密封-执行机构动力学联合模型，揭示阀内复杂流动、阀芯运动、结构变形、密封接触和控制响应之间的耦合机理，形成燃料控制阀关键结构参数优化、流量特性修正、抗振降噪、强度寿命校核及样机试验验证方法，实现燃料控制阀设计从经验迭代向仿真预测和闭环优化转变。</w:t>
      </w:r>
    </w:p>
    <w:p w14:paraId="0C0EB3DC">
      <w:pPr>
        <w:spacing w:line="560" w:lineRule="exact"/>
        <w:ind w:firstLine="643" w:firstLineChars="200"/>
        <w:jc w:val="both"/>
        <w:rPr>
          <w:rFonts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研究内容：</w:t>
      </w:r>
    </w:p>
    <w:p w14:paraId="7B8C3CB2">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（1）燃料控制阀高压可压缩流动特性与流量调节分析方法研究</w:t>
      </w:r>
    </w:p>
    <w:p w14:paraId="2BED4F72">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建立高压可压缩气体在阀内节流、膨胀及局部阻塞流过程的数值仿真模型，研究阀芯型面、节流窗口及流道结构对流量系数、流量线性度及小开度调节特性的影响规律，形成燃料控制阀流量调节特性分析与预测方法。</w:t>
      </w:r>
    </w:p>
    <w:p w14:paraId="2291EB53">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（2）燃料控制阀流-固耦合仿真与结构响应分析方法研究</w:t>
      </w:r>
    </w:p>
    <w:p w14:paraId="204DB81E">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建立阀内流场与阀芯、阀座及导向结构之间的流-固耦合模型，研究不同工况下流体载荷、结构变形、局部应力及振动响应演化规律，形成阀芯结构、导向间隙及流道过渡结构参数优化方法。</w:t>
      </w:r>
    </w:p>
    <w:p w14:paraId="61C89CFE">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（3）燃料控制阀热态密封耦合仿真与低泄漏分析方法研究</w:t>
      </w:r>
    </w:p>
    <w:p w14:paraId="2E23FD88">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建立阀杆-填料-填料函及阀芯-阀座密封副热-结构-接触耦合模型，研究温度场、介质压力及预紧参数对密封性能与磨损特性的影响规律，形成热态密封分析与低泄漏设计方法。</w:t>
      </w:r>
    </w:p>
    <w:p w14:paraId="1BD7E7C7">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（4）燃料控制阀执行机构-阀芯运动耦合与动态响应分析方法研究</w:t>
      </w:r>
    </w:p>
    <w:p w14:paraId="7736F435">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建立执行机构动力学与阀芯运动耦合模型，研究驱动力、阻尼特性、摩擦阻力及流体作用力对动态响应特性的影响规律，形成执行机构匹配与动态响应分析方法。</w:t>
      </w:r>
    </w:p>
    <w:p w14:paraId="6AF4E544">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（5）燃料控制阀多工况耦合仿真与参数优化方法研究</w:t>
      </w:r>
    </w:p>
    <w:p w14:paraId="1A0E3702">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围绕流量调节特性、结构强度、密封性能及动态响应等关键性能指标，开展参数化建模、多工况耦合仿真及敏感性分析研究，形成燃料控制阀多物理场耦合仿真与参数优化方法。</w:t>
      </w:r>
    </w:p>
    <w:p w14:paraId="25A18BA7">
      <w:pPr>
        <w:spacing w:line="560" w:lineRule="exact"/>
        <w:ind w:firstLine="643" w:firstLineChars="200"/>
        <w:jc w:val="both"/>
        <w:rPr>
          <w:rFonts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 xml:space="preserve">预期成果： </w:t>
      </w:r>
    </w:p>
    <w:p w14:paraId="26B0D68B">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（1）燃料控制阀多物理场耦合仿真模型及参数化建模方法体系；</w:t>
      </w:r>
    </w:p>
    <w:p w14:paraId="593519B3">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（2）燃料控制阀阀芯型面、节流结构、流道布局和导向结构优化设计方法；</w:t>
      </w:r>
    </w:p>
    <w:p w14:paraId="0A27323C">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（3）燃料控制阀热态密封机理分析与低泄漏设计方法；</w:t>
      </w:r>
    </w:p>
    <w:p w14:paraId="69AA364B">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（4）燃料控制阀执行机构-阀芯运动耦合动态响应分析方法；</w:t>
      </w:r>
    </w:p>
    <w:p w14:paraId="63E83CB7">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（5）燃料控制阀多工况耦合仿真与参数优化设计分析报告；</w:t>
      </w:r>
    </w:p>
    <w:p w14:paraId="0416F067">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（6）高水平论文3篇（EI/SCI/北大核心）、发明专利至少1项。</w:t>
      </w:r>
    </w:p>
    <w:p w14:paraId="1F947CF8">
      <w:pPr>
        <w:spacing w:line="560" w:lineRule="exact"/>
        <w:ind w:firstLine="643" w:firstLineChars="200"/>
        <w:jc w:val="both"/>
        <w:rPr>
          <w:rFonts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考核指标：</w:t>
      </w:r>
    </w:p>
    <w:p w14:paraId="3249995A">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（1）建立燃料控制阀流动-结构-热态密封-执行机构动力学多物理场耦合仿真模型1套，覆盖典型高压、高温及5%-100%开度工况，实现多场耦合统一分析；</w:t>
      </w:r>
    </w:p>
    <w:p w14:paraId="01187D31">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（2）形成燃料控制阀参数化建模与多工况仿真分析方法，支持阀芯型面、流道结构、密封结构及执行机构匹配等不少于4类关键参数建模与分析；</w:t>
      </w:r>
    </w:p>
    <w:p w14:paraId="040FA872">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（3）建立燃料控制阀流量特性、结构响应及动态响应联合预测方法，实现关键性能参数的可靠仿真预测；</w:t>
      </w:r>
    </w:p>
    <w:p w14:paraId="53EB0B32">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（4）建立燃料控制阀热态密封与结构强度分析方法，实现密封性能与关键应力水平的有效预测；</w:t>
      </w:r>
    </w:p>
    <w:p w14:paraId="70DEE058">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（5）完成燃料控制阀多工况仿真分析与参数优化前后对比验证，形成技术研究报告及优化设计建议。</w:t>
      </w:r>
    </w:p>
    <w:p w14:paraId="4293B9B3">
      <w:pPr>
        <w:spacing w:line="560" w:lineRule="exact"/>
        <w:ind w:firstLine="643"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研究周期：</w:t>
      </w:r>
      <w:r>
        <w:rPr>
          <w:rFonts w:ascii="仿宋_GB2312" w:hAnsi="仿宋_GB2312" w:eastAsia="仿宋_GB2312" w:cs="仿宋_GB2312"/>
          <w:sz w:val="32"/>
          <w:szCs w:val="32"/>
          <w:lang w:eastAsia="zh-CN"/>
        </w:rPr>
        <w:t>12</w:t>
      </w:r>
      <w:r>
        <w:rPr>
          <w:rFonts w:hint="eastAsia" w:ascii="仿宋_GB2312" w:hAnsi="仿宋_GB2312" w:eastAsia="仿宋_GB2312" w:cs="仿宋_GB2312"/>
          <w:sz w:val="32"/>
          <w:szCs w:val="32"/>
          <w:lang w:eastAsia="zh-CN"/>
        </w:rPr>
        <w:t>个月</w:t>
      </w:r>
    </w:p>
    <w:p w14:paraId="72E934BA">
      <w:pPr>
        <w:spacing w:line="560" w:lineRule="exact"/>
        <w:ind w:firstLine="643"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研究经费：</w:t>
      </w:r>
      <w:r>
        <w:rPr>
          <w:rFonts w:hint="eastAsia" w:ascii="仿宋_GB2312" w:hAnsi="仿宋_GB2312" w:eastAsia="仿宋_GB2312" w:cs="仿宋_GB2312"/>
          <w:sz w:val="32"/>
          <w:szCs w:val="32"/>
          <w:lang w:eastAsia="zh-CN"/>
        </w:rPr>
        <w:t>不超过200万元</w:t>
      </w:r>
    </w:p>
    <w:p w14:paraId="52486401">
      <w:pPr>
        <w:ind w:firstLine="643" w:firstLineChars="200"/>
        <w:rPr>
          <w:rFonts w:ascii="黑体" w:hAnsi="黑体" w:eastAsia="黑体"/>
          <w:b/>
          <w:bCs/>
          <w:sz w:val="32"/>
          <w:szCs w:val="32"/>
          <w:lang w:eastAsia="zh-CN"/>
        </w:rPr>
      </w:pPr>
    </w:p>
    <w:p w14:paraId="463995AC">
      <w:pPr>
        <w:spacing w:line="560" w:lineRule="exact"/>
        <w:ind w:firstLine="643" w:firstLineChars="200"/>
        <w:rPr>
          <w:rFonts w:ascii="黑体" w:hAnsi="黑体" w:eastAsia="黑体"/>
          <w:b/>
          <w:bCs/>
          <w:sz w:val="32"/>
          <w:szCs w:val="32"/>
          <w:lang w:eastAsia="zh-CN"/>
        </w:rPr>
      </w:pPr>
      <w:r>
        <w:rPr>
          <w:rFonts w:hint="eastAsia" w:ascii="黑体" w:hAnsi="黑体" w:eastAsia="黑体"/>
          <w:b/>
          <w:bCs/>
          <w:sz w:val="32"/>
          <w:szCs w:val="32"/>
          <w:lang w:eastAsia="zh-CN"/>
        </w:rPr>
        <w:t>9.面向燃气轮机透平叶片复合晶格冷却传热强化机制与数据驱动建模方法研究</w:t>
      </w:r>
    </w:p>
    <w:p w14:paraId="28ABD89B">
      <w:pPr>
        <w:spacing w:line="560" w:lineRule="exact"/>
        <w:ind w:firstLine="643" w:firstLineChars="200"/>
        <w:rPr>
          <w:rFonts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项目编号：ZRUIC202</w:t>
      </w:r>
      <w:r>
        <w:rPr>
          <w:rFonts w:hint="eastAsia" w:ascii="仿宋_GB2312" w:hAnsi="仿宋_GB2312" w:eastAsia="仿宋_GB2312" w:cs="仿宋_GB2312"/>
          <w:b/>
          <w:bCs/>
          <w:sz w:val="32"/>
          <w:szCs w:val="32"/>
          <w:lang w:val="en-US" w:eastAsia="zh-CN"/>
        </w:rPr>
        <w:t>7</w:t>
      </w:r>
      <w:r>
        <w:rPr>
          <w:rFonts w:hint="eastAsia" w:ascii="仿宋_GB2312" w:hAnsi="仿宋_GB2312" w:eastAsia="仿宋_GB2312" w:cs="仿宋_GB2312"/>
          <w:b/>
          <w:bCs/>
          <w:sz w:val="32"/>
          <w:szCs w:val="32"/>
          <w:lang w:eastAsia="zh-CN"/>
        </w:rPr>
        <w:t>09</w:t>
      </w:r>
    </w:p>
    <w:p w14:paraId="2837BC5B">
      <w:pPr>
        <w:spacing w:line="560" w:lineRule="exact"/>
        <w:ind w:firstLine="643" w:firstLineChars="200"/>
        <w:rPr>
          <w:rFonts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项目背景：</w:t>
      </w:r>
      <w:r>
        <w:rPr>
          <w:rFonts w:hint="eastAsia" w:ascii="仿宋_GB2312" w:hAnsi="仿宋_GB2312" w:eastAsia="仿宋_GB2312" w:cs="仿宋_GB2312"/>
          <w:sz w:val="32"/>
          <w:szCs w:val="32"/>
          <w:lang w:eastAsia="zh-CN"/>
        </w:rPr>
        <w:t>重型燃气轮机热负荷持续攀升，其中透平叶片冷却设计直接影响热端部件服役可靠性、燃气轮机循环效率与运行经济性。现有气膜冷却、冲击冷却、扰流强化冷却等技术，在高负荷工况下存在冷效不足、流动阻力大、耗气量高、冷却均匀性和运行稳定性受限等问题。亟需发展新一代内外复合冷却技术，开展构型设计、数值仿真、优化方法、实验评价研究，突破高效低阻透平冷却关键难题，提升燃气轮机热端部件冷却设计水平。</w:t>
      </w:r>
    </w:p>
    <w:p w14:paraId="4DBBC14C">
      <w:pPr>
        <w:spacing w:line="560" w:lineRule="exact"/>
        <w:ind w:firstLine="643" w:firstLineChars="200"/>
        <w:rPr>
          <w:rFonts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项目目标：</w:t>
      </w:r>
      <w:r>
        <w:rPr>
          <w:rFonts w:hint="eastAsia" w:ascii="仿宋_GB2312" w:hAnsi="仿宋_GB2312" w:eastAsia="仿宋_GB2312" w:cs="仿宋_GB2312"/>
          <w:sz w:val="32"/>
          <w:szCs w:val="32"/>
          <w:lang w:eastAsia="zh-CN"/>
        </w:rPr>
        <w:t>面向重型燃气轮机高温透平叶片高效、低耗气和高可靠冷却需求，研究复合晶格冷却结构设计与流动传热性能调控基础理论，揭示内外复合冷却的协同作用机理，以及旋转效应对冷气输运与传热强化的影响机制，阐明冷却性能、流动损失和结构热安全的耦合关系，建立复合晶格冷却设计与性能预测方法体系，形成适用于透平叶片关键部位的低阻、高效、可制造冷却技术。</w:t>
      </w:r>
    </w:p>
    <w:p w14:paraId="53CCDF5E">
      <w:pPr>
        <w:spacing w:line="560" w:lineRule="exact"/>
        <w:ind w:firstLine="643" w:firstLineChars="200"/>
        <w:rPr>
          <w:rFonts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研究内容：</w:t>
      </w:r>
    </w:p>
    <w:p w14:paraId="57FD0F20">
      <w:pPr>
        <w:spacing w:line="560" w:lineRule="exact"/>
        <w:ind w:firstLine="640" w:firstLineChars="200"/>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（1）复合晶格冷却结构共形建模、优化设计与流动传热调控机制研究</w:t>
      </w:r>
    </w:p>
    <w:p w14:paraId="1BD4738A">
      <w:pPr>
        <w:spacing w:line="560" w:lineRule="exact"/>
        <w:ind w:firstLine="640" w:firstLineChars="200"/>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研究复杂叶片曲面约束下共形梯度晶格的参数化建模及拓扑表征方法；突破兼顾流热性能与增材制造可实现性的拓扑优化设计瓶颈，形成适用于内部冲击、扰流与外部气膜、发散等耦合的复合晶格冷却叶片高维优化设计方法；揭示晶格拓扑、孔隙率、梯度分布和流量分配等对冷气输运、传热与冷却强化及出流特性的影响机制；构建适用于复合晶格冷却结构的冷却性能快速预测模型，形成可建模、可优化、可制造的低阻高效复合晶格冷却设计方法。</w:t>
      </w:r>
    </w:p>
    <w:p w14:paraId="17D19F5B">
      <w:pPr>
        <w:spacing w:line="560" w:lineRule="exact"/>
        <w:ind w:firstLine="640" w:firstLineChars="200"/>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（2）数据驱动复杂晶格冷却湍流传热建模研究</w:t>
      </w:r>
    </w:p>
    <w:p w14:paraId="51B50BCF">
      <w:pPr>
        <w:spacing w:line="560" w:lineRule="exact"/>
        <w:ind w:firstLine="640" w:firstLineChars="200"/>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融合物理约束、稀疏高保真数据与数据驱动方法，研究复合晶格冷却结构内外耦合流动及共轭传热特征的表征与建模方法，建立适用于晶格冷却流动的湍流应力与传热修正模型，提升复杂晶格冷却数值模拟的精度、泛化性与物理可解释性；构建贯通晶格单元、局部结构与叶片部件的跨尺度流动传热耦合模型，实现复合晶格冷却性能的快速、可信预测，支撑多参数、多目标优化设计。</w:t>
      </w:r>
    </w:p>
    <w:p w14:paraId="0324CA85">
      <w:pPr>
        <w:spacing w:line="560" w:lineRule="exact"/>
        <w:ind w:firstLine="640" w:firstLineChars="200"/>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（3）复合晶格冷却透平叶片验证研究</w:t>
      </w:r>
    </w:p>
    <w:p w14:paraId="781C6885">
      <w:pPr>
        <w:spacing w:line="560" w:lineRule="exact"/>
        <w:ind w:firstLine="640" w:firstLineChars="200"/>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面向重型燃气轮机透平叶片关键部位的高效冷却需求，开展复合晶格冷却结构的部件级验证研究；研究静止和旋转条件下复合晶格冷却结构的流动、传热、流阻及热应力特性，揭示旋转效应对冷气输运、流量分配和传热强化的影响机制；开展典型叶片关键部位冷却性能试验验证，评估其冷却效能、流动损失与结构热安全性，验证复合晶格冷却技术的适用性。</w:t>
      </w:r>
    </w:p>
    <w:p w14:paraId="56365734">
      <w:pPr>
        <w:spacing w:line="560" w:lineRule="exact"/>
        <w:ind w:firstLine="643" w:firstLineChars="200"/>
        <w:rPr>
          <w:rFonts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预期成果：</w:t>
      </w:r>
    </w:p>
    <w:p w14:paraId="14CEC41F">
      <w:pPr>
        <w:spacing w:line="560" w:lineRule="exact"/>
        <w:ind w:firstLine="640" w:firstLineChars="200"/>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（1）提升复杂晶格冷却结构湍流传热预测精度的数据驱动建模方法设计报告；</w:t>
      </w:r>
    </w:p>
    <w:p w14:paraId="124A3B36">
      <w:pPr>
        <w:spacing w:line="560" w:lineRule="exact"/>
        <w:ind w:firstLine="640" w:firstLineChars="200"/>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（2）强化透平冷却性能的低流阻高效复合晶格冷却构型与机理分析报告；</w:t>
      </w:r>
    </w:p>
    <w:p w14:paraId="5749347C">
      <w:pPr>
        <w:spacing w:line="560" w:lineRule="exact"/>
        <w:ind w:firstLine="640" w:firstLineChars="200"/>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（3）面向透平叶片前缘、尾缘等关键部位的复合晶格冷却结构设计方法；</w:t>
      </w:r>
    </w:p>
    <w:p w14:paraId="440D93BE">
      <w:pPr>
        <w:spacing w:line="560" w:lineRule="exact"/>
        <w:ind w:firstLine="640" w:firstLineChars="200"/>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（4）晶格冷却相关SCI论文至少3篇，其中行业/专业权威期刊以上至少1篇；</w:t>
      </w:r>
    </w:p>
    <w:p w14:paraId="2F7B648B">
      <w:pPr>
        <w:spacing w:line="560" w:lineRule="exact"/>
        <w:ind w:firstLine="640" w:firstLineChars="200"/>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（5）晶格冷却相关发明专利至少4篇，软件著作至少1套。</w:t>
      </w:r>
    </w:p>
    <w:p w14:paraId="63DD3094">
      <w:pPr>
        <w:spacing w:line="560" w:lineRule="exact"/>
        <w:ind w:firstLine="643" w:firstLineChars="200"/>
        <w:rPr>
          <w:rFonts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考核指标：</w:t>
      </w:r>
    </w:p>
    <w:p w14:paraId="26D202CC">
      <w:pPr>
        <w:spacing w:line="560" w:lineRule="exact"/>
        <w:ind w:firstLine="640" w:firstLineChars="200"/>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（1）针对气膜冷却，在相同吹风比下、进气总压和孔隙率下，复合晶格冷却结构综合冷效相对常规气膜冷却提升≥10%；</w:t>
      </w:r>
    </w:p>
    <w:p w14:paraId="0B063616">
      <w:pPr>
        <w:spacing w:line="560" w:lineRule="exact"/>
        <w:ind w:firstLine="640" w:firstLineChars="200"/>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（2）针对无气膜的内部通道冷却，在相同流量下，采用高维优化设计的复杂晶格冷却结构，换热能力较传统晶格和传统扰流结构提升≥10%，流动阻力增幅≤15%；</w:t>
      </w:r>
    </w:p>
    <w:p w14:paraId="3004C0D3">
      <w:pPr>
        <w:spacing w:line="560" w:lineRule="exact"/>
        <w:ind w:firstLine="640" w:firstLineChars="200"/>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（3）自研晶格专用湍流应力与传热修正数值模型和数据驱动共轭传热仿真预测模型通过数值模拟和模型预测分别得到的换热和流阻计算结果与试验实测数据或DES/LES 高精度仿真数据的偏差≤10%。</w:t>
      </w:r>
    </w:p>
    <w:p w14:paraId="7F2C6CD7">
      <w:pPr>
        <w:spacing w:line="560" w:lineRule="exact"/>
        <w:ind w:firstLine="643" w:firstLineChars="200"/>
        <w:rPr>
          <w:rFonts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研究周期：</w:t>
      </w:r>
      <w:r>
        <w:rPr>
          <w:rFonts w:ascii="仿宋_GB2312" w:hAnsi="仿宋_GB2312" w:eastAsia="仿宋_GB2312" w:cs="仿宋_GB2312"/>
          <w:sz w:val="32"/>
          <w:szCs w:val="32"/>
          <w:lang w:eastAsia="zh-CN"/>
        </w:rPr>
        <w:t>12</w:t>
      </w:r>
      <w:r>
        <w:rPr>
          <w:rFonts w:hint="eastAsia" w:ascii="仿宋_GB2312" w:hAnsi="仿宋_GB2312" w:eastAsia="仿宋_GB2312" w:cs="仿宋_GB2312"/>
          <w:sz w:val="32"/>
          <w:szCs w:val="32"/>
          <w:lang w:eastAsia="zh-CN"/>
        </w:rPr>
        <w:t>个月</w:t>
      </w:r>
    </w:p>
    <w:p w14:paraId="5AD8AB8F">
      <w:pPr>
        <w:spacing w:line="560" w:lineRule="exact"/>
        <w:ind w:firstLine="643" w:firstLineChars="200"/>
        <w:rPr>
          <w:rFonts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研究经费：</w:t>
      </w:r>
      <w:r>
        <w:rPr>
          <w:rFonts w:hint="eastAsia" w:ascii="仿宋_GB2312" w:hAnsi="仿宋_GB2312" w:eastAsia="仿宋_GB2312" w:cs="仿宋_GB2312"/>
          <w:sz w:val="32"/>
          <w:szCs w:val="32"/>
          <w:lang w:eastAsia="zh-CN"/>
        </w:rPr>
        <w:t>不超过200万元</w:t>
      </w:r>
    </w:p>
    <w:p w14:paraId="034D23F9">
      <w:pPr>
        <w:ind w:firstLine="643" w:firstLineChars="200"/>
        <w:rPr>
          <w:rFonts w:ascii="黑体" w:hAnsi="黑体" w:eastAsia="黑体"/>
          <w:b/>
          <w:bCs/>
          <w:sz w:val="32"/>
          <w:szCs w:val="32"/>
          <w:lang w:eastAsia="zh-CN"/>
        </w:rPr>
      </w:pPr>
    </w:p>
    <w:p w14:paraId="2945E763">
      <w:pPr>
        <w:spacing w:line="560" w:lineRule="exact"/>
        <w:ind w:firstLine="643" w:firstLineChars="200"/>
        <w:rPr>
          <w:rFonts w:ascii="黑体" w:hAnsi="黑体" w:eastAsia="黑体"/>
          <w:b/>
          <w:bCs/>
          <w:sz w:val="32"/>
          <w:szCs w:val="32"/>
          <w:lang w:eastAsia="zh-CN"/>
        </w:rPr>
      </w:pPr>
      <w:r>
        <w:rPr>
          <w:rFonts w:hint="eastAsia" w:ascii="黑体" w:hAnsi="黑体" w:eastAsia="黑体"/>
          <w:b/>
          <w:bCs/>
          <w:sz w:val="32"/>
          <w:szCs w:val="32"/>
          <w:lang w:eastAsia="zh-CN"/>
        </w:rPr>
        <w:t>10.面向性能动态退化的重型燃机燃烧特性偏移机理与自适应调控机制研究</w:t>
      </w:r>
    </w:p>
    <w:p w14:paraId="64CDA9AB">
      <w:pPr>
        <w:spacing w:line="560" w:lineRule="exact"/>
        <w:ind w:firstLine="643" w:firstLineChars="200"/>
        <w:jc w:val="both"/>
        <w:rPr>
          <w:rFonts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项目编号：ZRUIC202</w:t>
      </w:r>
      <w:r>
        <w:rPr>
          <w:rFonts w:hint="eastAsia" w:ascii="仿宋_GB2312" w:hAnsi="仿宋_GB2312" w:eastAsia="仿宋_GB2312" w:cs="仿宋_GB2312"/>
          <w:b/>
          <w:bCs/>
          <w:sz w:val="32"/>
          <w:szCs w:val="32"/>
          <w:lang w:val="en-US" w:eastAsia="zh-CN"/>
        </w:rPr>
        <w:t>7</w:t>
      </w:r>
      <w:r>
        <w:rPr>
          <w:rFonts w:hint="eastAsia" w:ascii="仿宋_GB2312" w:hAnsi="仿宋_GB2312" w:eastAsia="仿宋_GB2312" w:cs="仿宋_GB2312"/>
          <w:b/>
          <w:bCs/>
          <w:sz w:val="32"/>
          <w:szCs w:val="32"/>
          <w:lang w:eastAsia="zh-CN"/>
        </w:rPr>
        <w:t>10</w:t>
      </w:r>
    </w:p>
    <w:p w14:paraId="269ADAD0">
      <w:pPr>
        <w:spacing w:line="560" w:lineRule="exact"/>
        <w:ind w:firstLine="643"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项目背景：</w:t>
      </w:r>
      <w:r>
        <w:rPr>
          <w:rFonts w:hint="eastAsia" w:ascii="仿宋_GB2312" w:hAnsi="仿宋_GB2312" w:eastAsia="仿宋_GB2312" w:cs="仿宋_GB2312"/>
          <w:sz w:val="32"/>
          <w:szCs w:val="32"/>
          <w:lang w:eastAsia="zh-CN"/>
        </w:rPr>
        <w:t>燃烧调整作为重型燃气轮机安全稳定、绿色高效运行的核心控制环节，直接影响机组的燃烧稳定性、热效率、排放特性与运行寿命。通流部件性能退化与燃烧振荡频发及污染物排放加剧之间存在复杂关联性，通流部件性能衰退与损伤是导致燃烧热声耦合振荡频发及污染物排放加剧的关键诱因。在现有运维技术研究中，通流部件性能诊断方法与燃烧优化调整方法作为两个独立的领域并行发展，对于两者间的耦合机理缺乏深入探究。一方面，现有诊断方法因模型与实际系统本质失配导致所获取的通流部件特性与机组真实部件特性匹配度不足，难以精确刻画其性能衰退与损伤的实际部件特性偏移规律，另一方面，现有燃烧调整方法普遍忽视了通流部件性能退化对燃烧稳定性和污染物排放的作用影响，当通流部件运行特性因性能退化发生偏移时，原先建立的燃烧调整策略的有效性显著降低，甚至完全失效。因此，亟需开展面向性能动态退化的重型燃气轮机燃烧特性偏移机理与自适应调控机制研究，保障重型燃气轮机安全稳定、绿色高效运行，提升我国在燃气轮机全生命周期管理中的自主可控能力。</w:t>
      </w:r>
    </w:p>
    <w:p w14:paraId="5FFBCA38">
      <w:pPr>
        <w:spacing w:line="560" w:lineRule="exact"/>
        <w:ind w:firstLine="643"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项目目标：</w:t>
      </w:r>
      <w:r>
        <w:rPr>
          <w:rFonts w:hint="eastAsia" w:ascii="仿宋_GB2312" w:hAnsi="仿宋_GB2312" w:eastAsia="仿宋_GB2312" w:cs="仿宋_GB2312"/>
          <w:sz w:val="32"/>
          <w:szCs w:val="32"/>
          <w:lang w:eastAsia="zh-CN"/>
        </w:rPr>
        <w:t>面向重型燃机性能动态退化场景中燃烧优化调整难题，针对传统方法未考虑部件性能退化耦合影响导致调控适应性差、燃烧振荡频发、只能被动规避等问题，建立复杂变工况下基于退化机制耦合驱动深度强化学习的重型燃气轮机燃烧自适应优化方法，实现全通流部件性能退化精准量化表征，揭示关键燃烧状态特征参数对燃烧稳定性与污染物排放的影响规律，阐明各通流部件性能退化对燃烧特性偏移的影响机制，实现燃烧振荡抑制与污染物减排的“被动-主动”协同优化控制。研究成果将为突破现有运维技术存在宽负荷范围“部件性能诊断不准”与“燃烧调控不协”的双重瓶颈提供理论指导和技术支撑。</w:t>
      </w:r>
    </w:p>
    <w:p w14:paraId="430C15BA">
      <w:pPr>
        <w:spacing w:line="560" w:lineRule="exact"/>
        <w:ind w:firstLine="643" w:firstLineChars="200"/>
        <w:jc w:val="both"/>
        <w:rPr>
          <w:rFonts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研究内容：</w:t>
      </w:r>
    </w:p>
    <w:p w14:paraId="2CE268A1">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（1）复杂变工况下全通流部件性能退化表征研究</w:t>
      </w:r>
    </w:p>
    <w:p w14:paraId="7911B385">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从整机系统出发，构建基于气动热力学参数表征的全通流部件无量纲化健康特征数学模型。综合考虑瞬变工况、可变几何、抽气冷却等实际复杂运行条件，构建全通流部件强非线性涉及的压气机变几何流量特性与效率特性、燃烧室燃烧效率特性、透平流量特性与效率特性变工况数学模型以及二次空气系统的等效冷却流量变工况数学模型，并基于机组健康运行时的稳态和瞬态变工况气路可测参数，结合各惯性环节，通过设计工况与变工况自适应热力建模方法建立待诊断对象的集总与分布式参数耦合的部件级整机热力系统动态模型。并提出机理、数据和模型联合驱动的全通流部件健康特征参数提取方法，实现复杂变工况下性能退化的精准量化表征。</w:t>
      </w:r>
    </w:p>
    <w:p w14:paraId="6313595B">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（2）耦合部件性能退化机制驱动的燃烧特性偏移机理研究</w:t>
      </w:r>
    </w:p>
    <w:p w14:paraId="42498999">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通过匹配实际通流部件性能衰退与损伤状态的整机热力模型求解关键集总与各周向分布燃烧室单元的燃烧状态特征参数，实现全通流部件性能与燃烧稳定性、污染物排放的高效耦合诊断。研究关键燃烧状态特征参数对燃烧稳定性与污染物排放的影响规律，构建基于燃烧状态特征参数的燃烧稳定特性图与污染物排放特性图以及不稳定边界线与超排放边界线。基于耦合诊断得到的全通流部件健康特征参数和关键燃烧状态特征参数，一方面，研究单部件与多部件发生性能退化时对燃烧室整体燃烧特性偏移的作用机理，另一方面，研究各周向分布的燃烧室单元、透平流道发生性能退化时对各自燃烧室单元的燃烧特性偏移的作用机理，最终建立由全通流部件健康特征参数表征的燃烧室整体及各自燃烧室单元的燃烧状态无量纲化偏移特征数学模型，实现“部件性能退化”精准定量映射“燃烧特性偏移”。</w:t>
      </w:r>
    </w:p>
    <w:p w14:paraId="5CF73B36">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（3）基于燃烧特性驱动的自适应燃烧调控机制研究</w:t>
      </w:r>
    </w:p>
    <w:p w14:paraId="1D78E2F3">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针对传统燃烧调整方法因难以对燃烧性能进行精确建模与量化表征，以及缺乏对部件性能退化引发燃烧特性动态偏移的自适应补偿机制，导致调整只能被动规避、无法主动抑制与优化的问题，基于上述耦合诊断得到的全通流部件健康特征参数和燃烧状态特征参数，分别建立环境条件、燃料组分、控制参数以及全通流部件健康特征参数与燃烧状态特征参数之间的量化关系燃烧性能模型以及与燃烧稳定性、污染物排放之间的量化关系燃烧性能模型。制定燃烧稳定性与污染物排放综合调整的平衡准则，在机组正常负荷调控运行约束下，从流动与反应活性耦合调控出发，建立基于燃烧稳定性与污染物排放的外驱自适应燃烧调控策略以及基于燃烧状态特征参数的内驱自适应燃烧调控策略，使机组各燃烧室单元均处于各自燃烧特性图中燃烧振动水准低且污染物排放水平低的燃烧领域，实现燃烧振荡抑制与污染物减排的“被动-主动”协同优化控制。</w:t>
      </w:r>
    </w:p>
    <w:p w14:paraId="7C48A415">
      <w:pPr>
        <w:spacing w:line="560" w:lineRule="exact"/>
        <w:ind w:firstLine="643" w:firstLineChars="200"/>
        <w:jc w:val="both"/>
        <w:rPr>
          <w:rFonts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预期成果：</w:t>
      </w:r>
    </w:p>
    <w:p w14:paraId="7B93F3B4">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建立适用于全通流部件特性与燃烧特性耦合诊断的的强非线性部件级整机热力系统动态模型，揭示耦合全通流部件性能退化机制的燃烧特性整体与分布偏移机理，阐明基于燃烧稳定性与污染物排放的外驱自适应燃烧调整与基于燃烧状态特征参数的内驱自适应燃烧调整“被动-主动”协同的优化调控机制；</w:t>
      </w:r>
    </w:p>
    <w:p w14:paraId="59E66821">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开发AI赋能重型燃机自适应燃烧优化调控原型系统1套，集成数据采集模块、燃烧脉动压力和振动加速度实时监测分析模块、通流部件性能退化诊断模块、燃烧特性偏移识别模块、燃烧调整智能优化决策模块等；</w:t>
      </w:r>
    </w:p>
    <w:p w14:paraId="7D11D5EB">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3）构建重型燃气轮机通流部件性能退化数据库1套，建立通流部件健康特征参数→关键燃烧状态特征参数→流动与反应活性耦合燃烧调控知识库1套，编制《性能动态退化场景下重型燃气轮机燃烧特性偏移识别与智能调控技术导则》1份。</w:t>
      </w:r>
    </w:p>
    <w:p w14:paraId="3378FE48">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（4）申报国家发明专利不少于1项。</w:t>
      </w:r>
    </w:p>
    <w:p w14:paraId="745C171F">
      <w:pPr>
        <w:spacing w:line="560" w:lineRule="exact"/>
        <w:ind w:firstLine="643" w:firstLineChars="200"/>
        <w:jc w:val="both"/>
        <w:rPr>
          <w:rFonts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 xml:space="preserve">考核指标： </w:t>
      </w:r>
    </w:p>
    <w:p w14:paraId="76D83469">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建立一套可实现全通流部件特性与燃烧特性耦合诊断的强非线性部件级整机热力系统动态模型，模型可精准适配重型燃气轮机变工况运行场景。在40%-100%变工况负荷区间内，模型热力参数、燃烧参数仿真计算结果与实际机组运行数据的均方误差≤1%，可精准支撑部件性能与燃烧特性耦合动态演化过程的仿真分析与诊断研判；</w:t>
      </w:r>
    </w:p>
    <w:p w14:paraId="30F9C709">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系统揭示耦合全通流部件性能退化机制的燃烧特性整体偏移、分布偏移双重机理，明确不少于5类核心通流部件性能退化类型的作用机制。量化阐明各类部件退化程度、退化类型对燃烧温度场、压力脉动、排放分布等燃烧特性的影响规律与耦合关联机制；实现通流部件性能退化量化诊断准确性≥95%，燃烧特性整体及分布偏移量化诊断准确性≥90%，完成多场景机理有效性验证；</w:t>
      </w:r>
    </w:p>
    <w:p w14:paraId="258421E9">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3）基于燃烧稳定性、污染物排放两大核心约束，构建燃烧状态特征参数专属燃烧稳定特性图、污染物排放特性图。完整阐明外驱自适应调控、内驱自适应调控相结合的“被动-主动”协同优化调控机制，形成成熟的协同调控方法体系。实现机组智能自适应调控功能：当燃烧振动、污染物排放参数趋近预警阈值时，系统可自动优化调整控制参数，快速将机组运行工况调控至低燃烧振动、低污染物排放的最优燃烧稳定区间，保障机组宽负荷工况下燃烧安全与环保性能；</w:t>
      </w:r>
    </w:p>
    <w:p w14:paraId="7873ACDD">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4）研发完成AI赋能重型燃机自适应燃烧优化调控原型系统1套，系统完整集成高精度数据采集、燃烧脉动压力与振动加速度实时监测分析、通流部件性能退化诊断、燃烧特性偏移智能识别、燃烧调整智能优化决策五大核心功能模块。完成40%-100%负荷区间、不少于5类通流部件退化类型、不同退化严重程度下的全场景仿真测试，实现燃烧偏移机理验证、AI优化调控算法闭环仿真试验，系统运行稳定、识别精准、调控响应及时，满足机组实际工况适配需求；</w:t>
      </w:r>
    </w:p>
    <w:p w14:paraId="3DE2D943">
      <w:pPr>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5）搭建完成专业化重型燃气轮机通流部件性能退化数据库1套，归集多负荷、多退化类型、多退化程度的机组运行数据、部件退化数据、燃烧状态数据。构建完善的“通流部件健康特征参数→关键燃烧状态特征参数→流动与反应活性耦合燃烧调控”专属知识库，实现参数关联、机理匹配、调控策略的系统化归集与智能调用。编制完成《性能动态退化场景下重型燃气轮机燃烧特性偏移识别与智能调控技术导则》1份，导则内容规范、技术体系完整，可支撑同类机组燃烧偏移诊断与智能调控的工程应用与技术落地。</w:t>
      </w:r>
    </w:p>
    <w:p w14:paraId="340FF254">
      <w:pPr>
        <w:spacing w:line="560" w:lineRule="exact"/>
        <w:ind w:firstLine="643"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研究周期：</w:t>
      </w:r>
      <w:r>
        <w:rPr>
          <w:rFonts w:ascii="仿宋_GB2312" w:hAnsi="仿宋_GB2312" w:eastAsia="仿宋_GB2312" w:cs="仿宋_GB2312"/>
          <w:sz w:val="32"/>
          <w:szCs w:val="32"/>
          <w:lang w:eastAsia="zh-CN"/>
        </w:rPr>
        <w:t>12</w:t>
      </w:r>
      <w:r>
        <w:rPr>
          <w:rFonts w:hint="eastAsia" w:ascii="仿宋_GB2312" w:hAnsi="仿宋_GB2312" w:eastAsia="仿宋_GB2312" w:cs="仿宋_GB2312"/>
          <w:sz w:val="32"/>
          <w:szCs w:val="32"/>
          <w:lang w:eastAsia="zh-CN"/>
        </w:rPr>
        <w:t>个月</w:t>
      </w:r>
    </w:p>
    <w:p w14:paraId="1815D583">
      <w:pPr>
        <w:spacing w:line="560" w:lineRule="exact"/>
        <w:ind w:firstLine="643" w:firstLineChars="200"/>
        <w:jc w:val="both"/>
        <w:rPr>
          <w:rFonts w:ascii="仿宋_GB2312" w:hAnsi="仿宋_GB2312" w:eastAsia="仿宋_GB2312" w:cs="仿宋_GB2312"/>
          <w:sz w:val="32"/>
          <w:szCs w:val="32"/>
          <w:lang w:eastAsia="zh-CN"/>
        </w:rPr>
        <w:sectPr>
          <w:headerReference r:id="rId3" w:type="default"/>
          <w:footerReference r:id="rId4" w:type="default"/>
          <w:pgSz w:w="11906" w:h="16839"/>
          <w:pgMar w:top="1440" w:right="1800" w:bottom="1440" w:left="1800" w:header="0" w:footer="710" w:gutter="0"/>
          <w:cols w:space="720" w:num="1"/>
        </w:sectPr>
      </w:pPr>
      <w:r>
        <w:rPr>
          <w:rFonts w:hint="eastAsia" w:ascii="仿宋_GB2312" w:hAnsi="仿宋_GB2312" w:eastAsia="仿宋_GB2312" w:cs="仿宋_GB2312"/>
          <w:b/>
          <w:bCs/>
          <w:sz w:val="32"/>
          <w:szCs w:val="32"/>
          <w:lang w:eastAsia="zh-CN"/>
        </w:rPr>
        <w:t>研究经费：</w:t>
      </w:r>
      <w:r>
        <w:rPr>
          <w:rFonts w:hint="eastAsia" w:ascii="仿宋_GB2312" w:hAnsi="仿宋_GB2312" w:eastAsia="仿宋_GB2312" w:cs="仿宋_GB2312"/>
          <w:sz w:val="32"/>
          <w:szCs w:val="32"/>
          <w:lang w:eastAsia="zh-CN"/>
        </w:rPr>
        <w:t>不超过200万元</w:t>
      </w:r>
    </w:p>
    <w:p w14:paraId="0040CD2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D1E25E1-DE55-4456-95B4-E769A0D82B3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DC0B1BB0-24D4-4A08-A729-5EC9C25838F2}"/>
  </w:font>
  <w:font w:name="仿宋_GB2312">
    <w:altName w:val="仿宋"/>
    <w:panose1 w:val="02010609030101010101"/>
    <w:charset w:val="86"/>
    <w:family w:val="modern"/>
    <w:pitch w:val="default"/>
    <w:sig w:usb0="00000000" w:usb1="00000000" w:usb2="00000000" w:usb3="00000000" w:csb0="00040000" w:csb1="00000000"/>
    <w:embedRegular r:id="rId3" w:fontKey="{84302A5D-25B6-4E39-AEEA-03525C6A0F3A}"/>
  </w:font>
  <w:font w:name="方正小标宋简体">
    <w:panose1 w:val="02000000000000000000"/>
    <w:charset w:val="86"/>
    <w:family w:val="auto"/>
    <w:pitch w:val="default"/>
    <w:sig w:usb0="00000001" w:usb1="08000000" w:usb2="00000000" w:usb3="00000000" w:csb0="00040000" w:csb1="00000000"/>
    <w:embedRegular r:id="rId4" w:fontKey="{34513897-8CFB-4F9F-AFBE-605881252854}"/>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EF18A2">
    <w:pPr>
      <w:spacing w:line="232" w:lineRule="auto"/>
      <w:ind w:left="4781"/>
      <w:rPr>
        <w:rFonts w:ascii="仿宋_GB2312" w:hAnsi="仿宋_GB2312" w:eastAsia="仿宋_GB2312" w:cs="仿宋_GB2312"/>
        <w:sz w:val="18"/>
        <w:szCs w:val="18"/>
      </w:rPr>
    </w:pPr>
    <w:r>
      <w:rPr>
        <w:rFonts w:ascii="仿宋_GB2312" w:hAnsi="仿宋_GB2312" w:eastAsia="仿宋_GB2312" w:cs="仿宋_GB2312"/>
        <w:spacing w:val="-11"/>
        <w:sz w:val="18"/>
        <w:szCs w:val="18"/>
      </w:rPr>
      <w:t>37</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79B269">
    <w:pPr>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14C9A5B"/>
    <w:multiLevelType w:val="singleLevel"/>
    <w:tmpl w:val="D14C9A5B"/>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C123098"/>
    <w:rsid w:val="6C1230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39</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2026-09-30T04:47:00Z</dcterms:created>
  <dc:creator>JerAeX</dc:creator>
  <cp:lastModifiedBy>JerAeX</cp:lastModifiedBy>
  <dcterms:modified xsi:type="dcterms:W3CDTF">2026-09-30T04:48:06Z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3CA029677CD342BEAE544570A9827203_11</vt:lpwstr>
  </property>
  <property fmtid="{D5CDD505-2E9C-101B-9397-08002B2CF9AE}" pid="4" name="KSOTemplateDocerSaveRecord">
    <vt:lpwstr>eyJoZGlkIjoiMzM4YTZkZDhlNDRjMTYyZWMxNzcwMjVmYzIzZDRmMWYiLCJ1c2VySWQiOiI1ODQzNjU3MTYifQ==</vt:lpwstr>
  </property>
</Properties>
</file>